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2E5395"/>
          <w:sz w:val="28"/>
          <w:szCs w:val="28"/>
        </w:rPr>
        <w:t xml:space="preserve">LESSON 4 — CASE STUDIES</w:t>
      </w:r>
    </w:p>
    <w:p>
      <w:pPr>
        <w:spacing w:after="200" w:before="200"/>
        <w:jc w:val="center"/>
      </w:pPr>
      <w:r>
        <w:rPr>
          <w:b/>
          <w:bCs/>
          <w:color w:val="1F3864"/>
          <w:sz w:val="32"/>
          <w:szCs w:val="32"/>
        </w:rPr>
        <w:t xml:space="preserve">When Architecture Decisions Have Real Consequences</w:t>
      </w:r>
    </w:p>
    <w:p>
      <w:pPr>
        <w:jc w:val="center"/>
      </w:pPr>
      <w:r>
        <w:rPr>
          <w:i/>
          <w:iCs/>
          <w:color w:val="555555"/>
          <w:sz w:val="24"/>
          <w:szCs w:val="24"/>
        </w:rPr>
        <w:t xml:space="preserve">AI Engineering Concepts for Product Managers</w:t>
      </w:r>
    </w:p>
    <w:p>
      <w:r>
        <w:br w:type="page"/>
      </w:r>
    </w:p>
    <w:p>
      <w:pPr>
        <w:pStyle w:val="Heading1"/>
        <w:spacing w:after="160" w:before="360"/>
      </w:pPr>
      <w:r>
        <w:rPr>
          <w:b/>
          <w:bCs/>
          <w:color w:val="1F3864"/>
        </w:rPr>
        <w:t xml:space="preserve">How to Use These Case Studies</w:t>
      </w:r>
    </w:p>
    <w:p>
      <w:pPr>
        <w:spacing w:after="160" w:line="300"/>
      </w:pPr>
      <w:r>
        <w:t xml:space="preserve">These three cases each illustrate a different engineering trade-off from this lesson: an infrastructure/token-cost story unfolding in real time, a fine-tuning-vs-general-model decision with genuinely mixed results, and a RAG architecture examined at the technical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060"/>
      </w:tblGrid>
      <w:tr>
        <w:trPr>
          <w:tblHeader/>
        </w:trPr>
        <w:tc>
          <w:tcPr>
            <w:tcW w:type="dxa" w:w="700"/>
            <w:shd w:fill="1F3864" w:val="clear"/>
            <w:tcMar>
              <w:top w:type="dxa" w:w="100"/>
              <w:left w:type="dxa" w:w="110"/>
              <w:bottom w:type="dxa" w:w="100"/>
              <w:right w:type="dxa" w:w="110"/>
            </w:tcMar>
          </w:tcPr>
          <w:p>
            <w:r>
              <w:rPr>
                <w:b/>
                <w:bCs/>
                <w:color w:val="FFFFFF"/>
                <w:sz w:val="19"/>
                <w:szCs w:val="19"/>
              </w:rPr>
              <w:t xml:space="preserve">Case</w:t>
            </w:r>
          </w:p>
        </w:tc>
        <w:tc>
          <w:tcPr>
            <w:tcW w:type="dxa" w:w="2600"/>
            <w:shd w:fill="1F3864" w:val="clear"/>
            <w:tcMar>
              <w:top w:type="dxa" w:w="100"/>
              <w:left w:type="dxa" w:w="110"/>
              <w:bottom w:type="dxa" w:w="100"/>
              <w:right w:type="dxa" w:w="110"/>
            </w:tcMar>
          </w:tcPr>
          <w:p>
            <w:r>
              <w:rPr>
                <w:b/>
                <w:bCs/>
                <w:color w:val="FFFFFF"/>
                <w:sz w:val="19"/>
                <w:szCs w:val="19"/>
              </w:rPr>
              <w:t xml:space="preserve">Company/Event</w:t>
            </w:r>
          </w:p>
        </w:tc>
        <w:tc>
          <w:tcPr>
            <w:tcW w:type="dxa" w:w="6060"/>
            <w:shd w:fill="1F3864" w:val="clear"/>
            <w:tcMar>
              <w:top w:type="dxa" w:w="100"/>
              <w:left w:type="dxa" w:w="110"/>
              <w:bottom w:type="dxa" w:w="100"/>
              <w:right w:type="dxa" w:w="110"/>
            </w:tcMar>
          </w:tcPr>
          <w:p>
            <w:r>
              <w:rPr>
                <w:b/>
                <w:bCs/>
                <w:color w:val="FFFFFF"/>
                <w:sz w:val="19"/>
                <w:szCs w:val="19"/>
              </w:rPr>
              <w:t xml:space="preserve">Core Engineering Lesson</w:t>
            </w:r>
          </w:p>
        </w:tc>
      </w:tr>
      <w:tr>
        <w:tc>
          <w:tcPr>
            <w:tcW w:type="dxa" w:w="700"/>
            <w:shd w:fill="FFFFFF" w:val="clear"/>
            <w:tcMar>
              <w:top w:type="dxa" w:w="90"/>
              <w:left w:type="dxa" w:w="110"/>
              <w:bottom w:type="dxa" w:w="90"/>
              <w:right w:type="dxa" w:w="110"/>
            </w:tcMar>
          </w:tcPr>
          <w:p>
            <w:r>
              <w:rPr>
                <w:sz w:val="19"/>
                <w:szCs w:val="19"/>
              </w:rPr>
              <w:t xml:space="preserve">1</w:t>
            </w:r>
          </w:p>
        </w:tc>
        <w:tc>
          <w:tcPr>
            <w:tcW w:type="dxa" w:w="2600"/>
            <w:shd w:fill="FFFFFF" w:val="clear"/>
            <w:tcMar>
              <w:top w:type="dxa" w:w="90"/>
              <w:left w:type="dxa" w:w="110"/>
              <w:bottom w:type="dxa" w:w="90"/>
              <w:right w:type="dxa" w:w="110"/>
            </w:tcMar>
          </w:tcPr>
          <w:p>
            <w:r>
              <w:rPr>
                <w:sz w:val="19"/>
                <w:szCs w:val="19"/>
              </w:rPr>
              <w:t xml:space="preserve">Uber's Claude Code Rollout</w:t>
            </w:r>
          </w:p>
        </w:tc>
        <w:tc>
          <w:tcPr>
            <w:tcW w:type="dxa" w:w="6060"/>
            <w:shd w:fill="FFFFFF" w:val="clear"/>
            <w:tcMar>
              <w:top w:type="dxa" w:w="90"/>
              <w:left w:type="dxa" w:w="110"/>
              <w:bottom w:type="dxa" w:w="90"/>
              <w:right w:type="dxa" w:w="110"/>
            </w:tcMar>
          </w:tcPr>
          <w:p>
            <w:r>
              <w:rPr>
                <w:sz w:val="19"/>
                <w:szCs w:val="19"/>
              </w:rPr>
              <w:t xml:space="preserve">How token economics and agentic workflows can blow through a budget even when adoption succeeds</w:t>
            </w:r>
          </w:p>
        </w:tc>
      </w:tr>
      <w:tr>
        <w:tc>
          <w:tcPr>
            <w:tcW w:type="dxa" w:w="700"/>
            <w:shd w:fill="F2F2F2" w:val="clear"/>
            <w:tcMar>
              <w:top w:type="dxa" w:w="90"/>
              <w:left w:type="dxa" w:w="110"/>
              <w:bottom w:type="dxa" w:w="90"/>
              <w:right w:type="dxa" w:w="110"/>
            </w:tcMar>
          </w:tcPr>
          <w:p>
            <w:r>
              <w:rPr>
                <w:sz w:val="19"/>
                <w:szCs w:val="19"/>
              </w:rPr>
              <w:t xml:space="preserve">2</w:t>
            </w:r>
          </w:p>
        </w:tc>
        <w:tc>
          <w:tcPr>
            <w:tcW w:type="dxa" w:w="2600"/>
            <w:shd w:fill="F2F2F2" w:val="clear"/>
            <w:tcMar>
              <w:top w:type="dxa" w:w="90"/>
              <w:left w:type="dxa" w:w="110"/>
              <w:bottom w:type="dxa" w:w="90"/>
              <w:right w:type="dxa" w:w="110"/>
            </w:tcMar>
          </w:tcPr>
          <w:p>
            <w:r>
              <w:rPr>
                <w:sz w:val="19"/>
                <w:szCs w:val="19"/>
              </w:rPr>
              <w:t xml:space="preserve">BloombergGPT vs. GPT-4</w:t>
            </w:r>
          </w:p>
        </w:tc>
        <w:tc>
          <w:tcPr>
            <w:tcW w:type="dxa" w:w="6060"/>
            <w:shd w:fill="F2F2F2" w:val="clear"/>
            <w:tcMar>
              <w:top w:type="dxa" w:w="90"/>
              <w:left w:type="dxa" w:w="110"/>
              <w:bottom w:type="dxa" w:w="90"/>
              <w:right w:type="dxa" w:w="110"/>
            </w:tcMar>
          </w:tcPr>
          <w:p>
            <w:r>
              <w:rPr>
                <w:sz w:val="19"/>
                <w:szCs w:val="19"/>
              </w:rPr>
              <w:t xml:space="preserve">The real cost and risk trade-offs of fine-tuning or training from scratch vs. using a general model</w:t>
            </w:r>
          </w:p>
        </w:tc>
      </w:tr>
      <w:tr>
        <w:tc>
          <w:tcPr>
            <w:tcW w:type="dxa" w:w="700"/>
            <w:shd w:fill="FFFFFF" w:val="clear"/>
            <w:tcMar>
              <w:top w:type="dxa" w:w="90"/>
              <w:left w:type="dxa" w:w="110"/>
              <w:bottom w:type="dxa" w:w="90"/>
              <w:right w:type="dxa" w:w="110"/>
            </w:tcMar>
          </w:tcPr>
          <w:p>
            <w:r>
              <w:rPr>
                <w:sz w:val="19"/>
                <w:szCs w:val="19"/>
              </w:rPr>
              <w:t xml:space="preserve">3</w:t>
            </w:r>
          </w:p>
        </w:tc>
        <w:tc>
          <w:tcPr>
            <w:tcW w:type="dxa" w:w="2600"/>
            <w:shd w:fill="FFFFFF" w:val="clear"/>
            <w:tcMar>
              <w:top w:type="dxa" w:w="90"/>
              <w:left w:type="dxa" w:w="110"/>
              <w:bottom w:type="dxa" w:w="90"/>
              <w:right w:type="dxa" w:w="110"/>
            </w:tcMar>
          </w:tcPr>
          <w:p>
            <w:r>
              <w:rPr>
                <w:sz w:val="19"/>
                <w:szCs w:val="19"/>
              </w:rPr>
              <w:t xml:space="preserve">Morgan Stanley (Architecture Lens)</w:t>
            </w:r>
          </w:p>
        </w:tc>
        <w:tc>
          <w:tcPr>
            <w:tcW w:type="dxa" w:w="6060"/>
            <w:shd w:fill="FFFFFF" w:val="clear"/>
            <w:tcMar>
              <w:top w:type="dxa" w:w="90"/>
              <w:left w:type="dxa" w:w="110"/>
              <w:bottom w:type="dxa" w:w="90"/>
              <w:right w:type="dxa" w:w="110"/>
            </w:tcMar>
          </w:tcPr>
          <w:p>
            <w:r>
              <w:rPr>
                <w:sz w:val="19"/>
                <w:szCs w:val="19"/>
              </w:rPr>
              <w:t xml:space="preserve">What a production-grade RAG and vector search architecture actually looks like</w:t>
            </w:r>
          </w:p>
        </w:tc>
      </w:tr>
    </w:tbl>
    <w:p>
      <w:r>
        <w:br w:type="page"/>
      </w:r>
    </w:p>
    <w:tbl>
      <w:tblPr>
        <w:tblW w:type="dxa" w:w="9360"/>
        <w:tblBorders>
          <w:top w:val="single" w:color="B22222" w:sz="8"/>
          <w:left w:val="single" w:color="B22222" w:sz="8"/>
          <w:bottom w:val="single" w:color="B22222" w:sz="8"/>
          <w:right w:val="single" w:color="B22222" w:sz="8"/>
          <w:insideH w:val="none" w:color="FFFFFF" w:sz="0"/>
          <w:insideV w:val="none" w:color="FFFFFF" w:sz="0"/>
        </w:tblBorders>
      </w:tblPr>
      <w:tblGrid>
        <w:gridCol w:w="9360"/>
      </w:tblGrid>
      <w:tr>
        <w:tc>
          <w:tcPr>
            <w:tcW w:type="dxa" w:w="9360"/>
            <w:shd w:fill="B22222" w:val="clear"/>
            <w:tcMar>
              <w:top w:type="dxa" w:w="180"/>
              <w:left w:type="dxa" w:w="220"/>
              <w:bottom w:type="dxa" w:w="180"/>
              <w:right w:type="dxa" w:w="220"/>
            </w:tcMar>
          </w:tcPr>
          <w:p>
            <w:r>
              <w:rPr>
                <w:b/>
                <w:bCs/>
                <w:color w:val="FFFFFF"/>
                <w:sz w:val="19"/>
                <w:szCs w:val="19"/>
              </w:rPr>
              <w:t xml:space="preserve">CASE STUDY 1</w:t>
            </w:r>
          </w:p>
          <w:p>
            <w:pPr>
              <w:spacing w:before="60"/>
            </w:pPr>
            <w:r>
              <w:rPr>
                <w:b/>
                <w:bCs/>
                <w:color w:val="FFFFFF"/>
                <w:sz w:val="32"/>
                <w:szCs w:val="32"/>
              </w:rPr>
              <w:t xml:space="preserve">Uber's Claude Code Rollout</w:t>
            </w:r>
          </w:p>
          <w:p>
            <w:pPr>
              <w:spacing w:before="40"/>
            </w:pPr>
            <w:r>
              <w:rPr>
                <w:i/>
                <w:iCs/>
                <w:color w:val="FFFFFF"/>
                <w:sz w:val="21"/>
                <w:szCs w:val="21"/>
              </w:rPr>
              <w:t xml:space="preserve">How a Successful Rollout Still Blew the Budget</w:t>
            </w:r>
          </w:p>
        </w:tc>
      </w:tr>
    </w:tbl>
    <w:p>
      <w:pPr>
        <w:spacing w:after="120"/>
      </w:pPr>
    </w:p>
    <w:p>
      <w:pPr>
        <w:pStyle w:val="Heading2"/>
        <w:spacing w:after="120" w:before="280"/>
      </w:pPr>
      <w:r>
        <w:rPr>
          <w:b/>
          <w:bCs/>
          <w:color w:val="2E5395"/>
        </w:rPr>
        <w:t xml:space="preserve">Background</w:t>
      </w:r>
    </w:p>
    <w:p>
      <w:pPr>
        <w:spacing w:after="160" w:line="300"/>
      </w:pPr>
      <w:r>
        <w:t xml:space="preserve">In December 2025, Uber rolled out Claude Code — an AI coding tool — to its engineering organization of roughly 5,000 engineers, actively encouraging adoption as part of a broader AI-native engineering push.</w:t>
      </w:r>
    </w:p>
    <w:p>
      <w:pPr>
        <w:pStyle w:val="Heading2"/>
        <w:spacing w:after="120" w:before="280"/>
      </w:pPr>
      <w:r>
        <w:rPr>
          <w:b/>
          <w:bCs/>
          <w:color w:val="2E5395"/>
        </w:rPr>
        <w:t xml:space="preserve">What Happened</w:t>
      </w:r>
    </w:p>
    <w:p>
      <w:pPr>
        <w:pStyle w:val="ListParagraph"/>
        <w:numPr>
          <w:ilvl w:val="0"/>
          <w:numId w:val="2"/>
        </w:numPr>
        <w:spacing w:after="80"/>
      </w:pPr>
      <w:r>
        <w:t xml:space="preserve">Adoption grew fast: from 32% to 84% of engineers within about four months.</w:t>
      </w:r>
    </w:p>
    <w:p>
      <w:pPr>
        <w:pStyle w:val="ListParagraph"/>
        <w:numPr>
          <w:ilvl w:val="0"/>
          <w:numId w:val="2"/>
        </w:numPr>
        <w:spacing w:after="80"/>
      </w:pPr>
      <w:r>
        <w:t xml:space="preserve">By Uber's own account, the rollout worked on every measure it was designed against — the company reported 70% of committed code being AI-generated, with 11% of backend updates written by fully autonomous agents.</w:t>
      </w:r>
    </w:p>
    <w:p>
      <w:pPr>
        <w:pStyle w:val="ListParagraph"/>
        <w:numPr>
          <w:ilvl w:val="0"/>
          <w:numId w:val="2"/>
        </w:numPr>
        <w:spacing w:after="80"/>
      </w:pPr>
      <w:r>
        <w:t xml:space="preserve">But token costs followed adoption upward just as fast: average costs ran $150–250 per engineer per month, with power users running $500–2,000 per month, and no ceiling built in.</w:t>
      </w:r>
    </w:p>
    <w:p>
      <w:pPr>
        <w:pStyle w:val="ListParagraph"/>
        <w:numPr>
          <w:ilvl w:val="0"/>
          <w:numId w:val="2"/>
        </w:numPr>
        <w:spacing w:after="80"/>
      </w:pPr>
      <w:r>
        <w:t xml:space="preserve">By April 2026 — four months after launch — Uber had burned through its entire 2026 AI budget.</w:t>
      </w:r>
    </w:p>
    <w:p>
      <w:pPr>
        <w:pStyle w:val="ListParagraph"/>
        <w:numPr>
          <w:ilvl w:val="0"/>
          <w:numId w:val="2"/>
        </w:numPr>
        <w:spacing w:after="80"/>
      </w:pPr>
      <w:r>
        <w:t xml:space="preserve">Uber's CTO was quoted describing having spent $1,200 in tokens during a single two-hour personal demo, and the company's COO told investors he could not yet draw a clear line between the token spending and consumer-facing business results.</w:t>
      </w:r>
    </w:p>
    <w:p>
      <w:pPr>
        <w:pStyle w:val="Heading2"/>
        <w:spacing w:after="120" w:before="280"/>
      </w:pPr>
      <w:r>
        <w:rPr>
          <w:b/>
          <w:bCs/>
          <w:color w:val="2E5395"/>
        </w:rPr>
        <w:t xml:space="preserve">Why This Happened (The Engineering Explanation)</w:t>
      </w:r>
    </w:p>
    <w:p>
      <w:pPr>
        <w:spacing w:after="160" w:line="300"/>
      </w:pPr>
      <w:r>
        <w:t xml:space="preserve">Agentic coding tools don't just answer one question — they reason through many steps to complete a task, and many implementations resend the full conversation history at every single step. A task that might look like "one request" from a user's perspective can consume many multiples of the tokens a simple chat exchange would use. Industry-wide data backs this up: one analysis found enterprise AI token consumption grew roughly 13-fold in under two years, driven not by 13 times more users but by longer context windows, more use cases, and the sheer volume-multiplying effect of agentic workflows.</w:t>
      </w:r>
    </w:p>
    <w:tbl>
      <w:tblPr>
        <w:tblW w:type="dxa" w:w="9360"/>
        <w:tblBorders>
          <w:top w:val="single" w:color="2E5395" w:sz="6"/>
          <w:left w:val="single" w:color="2E5395" w:sz="6"/>
          <w:bottom w:val="single" w:color="2E5395" w:sz="6"/>
          <w:right w:val="single" w:color="2E5395" w:sz="6"/>
          <w:insideH w:val="none" w:color="FFFFFF" w:sz="0"/>
          <w:insideV w:val="none" w:color="FFFFFF" w:sz="0"/>
        </w:tblBorders>
      </w:tblPr>
      <w:tblGrid>
        <w:gridCol w:w="9360"/>
      </w:tblGrid>
      <w:tr>
        <w:tc>
          <w:tcPr>
            <w:tcW w:type="dxa" w:w="9360"/>
            <w:shd w:fill="DDEBF7" w:val="clear"/>
            <w:tcMar>
              <w:top w:type="dxa" w:w="140"/>
              <w:left w:type="dxa" w:w="180"/>
              <w:bottom w:type="dxa" w:w="140"/>
              <w:right w:type="dxa" w:w="180"/>
            </w:tcMar>
          </w:tcPr>
          <w:p>
            <w:r>
              <w:rPr>
                <w:b/>
                <w:bCs/>
                <w:color w:val="2E5395"/>
              </w:rPr>
              <w:t xml:space="preserve">The Deeper Lesson</w:t>
            </w:r>
          </w:p>
          <w:p>
            <w:pPr>
              <w:spacing w:before="60"/>
            </w:pPr>
            <w:r>
              <w:t xml:space="preserve">This wasn't a failed rollout — by Uber's own account, the tool worked exactly as intended. The failure was in the budget model: teams that built their AI cost assumptions on per-seat software logic got blindsided by consumption-driven, agentic-multiplied token costs that behave nothing like a fixed subscription. This is precisely why token economics (Sub-Lesson 4.9) has become its own budgeting discipline almost overnight.</w:t>
            </w:r>
          </w:p>
        </w:tc>
      </w:tr>
    </w:tbl>
    <w:p>
      <w:pPr>
        <w:pStyle w:val="Heading2"/>
        <w:spacing w:after="120" w:before="280"/>
      </w:pPr>
      <w:r>
        <w:rPr>
          <w:b/>
          <w:bCs/>
          <w:color w:val="2E5395"/>
        </w:rPr>
        <w:t xml:space="preserve">Discussion Questions</w:t>
      </w:r>
    </w:p>
    <w:p>
      <w:pPr>
        <w:pStyle w:val="ListParagraph"/>
        <w:numPr>
          <w:ilvl w:val="0"/>
          <w:numId w:val="2"/>
        </w:numPr>
        <w:spacing w:after="80"/>
      </w:pPr>
      <w:r>
        <w:t xml:space="preserve">Uber's rollout succeeded on every product measure but still blew the budget. Is this a product failure, a finance failure, or something else? Defend your answer.</w:t>
      </w:r>
    </w:p>
    <w:p>
      <w:pPr>
        <w:pStyle w:val="ListParagraph"/>
        <w:numPr>
          <w:ilvl w:val="0"/>
          <w:numId w:val="2"/>
        </w:numPr>
        <w:spacing w:after="80"/>
      </w:pPr>
      <w:r>
        <w:t xml:space="preserve">What specific architecture or product decisions (from Sub-Lessons 4.7–4.9) could have controlled this cost without undermining adoption?</w:t>
      </w:r>
    </w:p>
    <w:p>
      <w:pPr>
        <w:pStyle w:val="ListParagraph"/>
        <w:numPr>
          <w:ilvl w:val="0"/>
          <w:numId w:val="2"/>
        </w:numPr>
        <w:spacing w:after="80"/>
      </w:pPr>
      <w:r>
        <w:t xml:space="preserve">The COO said he couldn't yet connect token spending to consumer-facing results. What would you want measured (see Sub-Lesson 4.10, AI Evaluation) before scaling a similar rollout at another company?</w:t>
      </w:r>
    </w:p>
    <w:p>
      <w:pPr>
        <w:pStyle w:val="ListParagraph"/>
        <w:numPr>
          <w:ilvl w:val="0"/>
          <w:numId w:val="2"/>
        </w:numPr>
        <w:spacing w:after="80"/>
      </w:pPr>
      <w:r>
        <w:t xml:space="preserve">If you were designing spending caps for a similar agentic tool rollout, where would you set them, and what would happen when a team hits the cap?</w:t>
      </w:r>
    </w:p>
    <w:p>
      <w:r>
        <w:br w:type="page"/>
      </w:r>
    </w:p>
    <w:tbl>
      <w:tblPr>
        <w:tblW w:type="dxa" w:w="9360"/>
        <w:tblBorders>
          <w:top w:val="single" w:color="B8860B" w:sz="8"/>
          <w:left w:val="single" w:color="B8860B" w:sz="8"/>
          <w:bottom w:val="single" w:color="B8860B" w:sz="8"/>
          <w:right w:val="single" w:color="B8860B" w:sz="8"/>
          <w:insideH w:val="none" w:color="FFFFFF" w:sz="0"/>
          <w:insideV w:val="none" w:color="FFFFFF" w:sz="0"/>
        </w:tblBorders>
      </w:tblPr>
      <w:tblGrid>
        <w:gridCol w:w="9360"/>
      </w:tblGrid>
      <w:tr>
        <w:tc>
          <w:tcPr>
            <w:tcW w:type="dxa" w:w="9360"/>
            <w:shd w:fill="B8860B" w:val="clear"/>
            <w:tcMar>
              <w:top w:type="dxa" w:w="180"/>
              <w:left w:type="dxa" w:w="220"/>
              <w:bottom w:type="dxa" w:w="180"/>
              <w:right w:type="dxa" w:w="220"/>
            </w:tcMar>
          </w:tcPr>
          <w:p>
            <w:r>
              <w:rPr>
                <w:b/>
                <w:bCs/>
                <w:color w:val="FFFFFF"/>
                <w:sz w:val="19"/>
                <w:szCs w:val="19"/>
              </w:rPr>
              <w:t xml:space="preserve">CASE STUDY 2</w:t>
            </w:r>
          </w:p>
          <w:p>
            <w:pPr>
              <w:spacing w:before="60"/>
            </w:pPr>
            <w:r>
              <w:rPr>
                <w:b/>
                <w:bCs/>
                <w:color w:val="FFFFFF"/>
                <w:sz w:val="32"/>
                <w:szCs w:val="32"/>
              </w:rPr>
              <w:t xml:space="preserve">BloombergGPT vs. GPT-4</w:t>
            </w:r>
          </w:p>
          <w:p>
            <w:pPr>
              <w:spacing w:before="40"/>
            </w:pPr>
            <w:r>
              <w:rPr>
                <w:i/>
                <w:iCs/>
                <w:color w:val="FFFFFF"/>
                <w:sz w:val="21"/>
                <w:szCs w:val="21"/>
              </w:rPr>
              <w:t xml:space="preserve">A $3–10 Million Bet on Domain-Specific Training</w:t>
            </w:r>
          </w:p>
        </w:tc>
      </w:tr>
    </w:tbl>
    <w:p>
      <w:pPr>
        <w:spacing w:after="120"/>
      </w:pPr>
    </w:p>
    <w:p>
      <w:pPr>
        <w:pStyle w:val="Heading2"/>
        <w:spacing w:after="120" w:before="280"/>
      </w:pPr>
      <w:r>
        <w:rPr>
          <w:b/>
          <w:bCs/>
          <w:color w:val="2E5395"/>
        </w:rPr>
        <w:t xml:space="preserve">Background</w:t>
      </w:r>
    </w:p>
    <w:p>
      <w:pPr>
        <w:spacing w:after="160" w:line="300"/>
      </w:pPr>
      <w:r>
        <w:t xml:space="preserve">In March 2023, Bloomberg announced BloombergGPT: a 50-billion-parameter language model trained from scratch specifically for finance, using a mix of Bloomberg's proprietary financial data (over 360 billion tokens drawn from four decades of financial documents) and public data. Training cost an estimated $3–10 million and took over 1.3 million GPU hours.</w:t>
      </w:r>
    </w:p>
    <w:p>
      <w:pPr>
        <w:pStyle w:val="Heading2"/>
        <w:spacing w:after="120" w:before="280"/>
      </w:pPr>
      <w:r>
        <w:rPr>
          <w:b/>
          <w:bCs/>
          <w:color w:val="2E5395"/>
        </w:rPr>
        <w:t xml:space="preserve">What Happened</w:t>
      </w:r>
    </w:p>
    <w:p>
      <w:pPr>
        <w:pStyle w:val="ListParagraph"/>
        <w:numPr>
          <w:ilvl w:val="0"/>
          <w:numId w:val="2"/>
        </w:numPr>
        <w:spacing w:after="80"/>
      </w:pPr>
      <w:r>
        <w:t xml:space="preserve">BloombergGPT clearly outperformed similarly-sized open, general-purpose models (like GPT-NeoX and BLOOM) on finance-specific tasks, while holding its own on general-language benchmarks — validating the core premise that mixed general-and-financial training data works.</w:t>
      </w:r>
    </w:p>
    <w:p>
      <w:pPr>
        <w:pStyle w:val="ListParagraph"/>
        <w:numPr>
          <w:ilvl w:val="0"/>
          <w:numId w:val="2"/>
        </w:numPr>
        <w:spacing w:after="80"/>
      </w:pPr>
      <w:r>
        <w:t xml:space="preserve">Bloomberg's own paper did not benchmark the model directly against GPT-3 or GPT-4, which drew early skepticism from outside researchers.</w:t>
      </w:r>
    </w:p>
    <w:p>
      <w:pPr>
        <w:pStyle w:val="ListParagraph"/>
        <w:numPr>
          <w:ilvl w:val="0"/>
          <w:numId w:val="2"/>
        </w:numPr>
        <w:spacing w:after="80"/>
      </w:pPr>
      <w:r>
        <w:t xml:space="preserve">Independent research from Queen's University later ran that direct comparison — and found GPT-4, a general-purpose model with zero specialized financial training, outperformed BloombergGPT on several financial benchmarks, including a roughly 26-percentage-point gap on the FinQA question-answering benchmark (68.79% vs. 43%).</w:t>
      </w:r>
    </w:p>
    <w:p>
      <w:pPr>
        <w:pStyle w:val="ListParagraph"/>
        <w:numPr>
          <w:ilvl w:val="0"/>
          <w:numId w:val="2"/>
        </w:numPr>
        <w:spacing w:after="80"/>
      </w:pPr>
      <w:r>
        <w:t xml:space="preserve">Industry commentary at the time (including from Wharton's Ethan Mollick) noted the comparison used an earlier version of GPT-4, and that BloombergGPT did win on some structured, narrow tasks — the picture was genuinely mixed, not a simple loss.</w:t>
      </w:r>
    </w:p>
    <w:p>
      <w:pPr>
        <w:pStyle w:val="Heading2"/>
        <w:spacing w:after="120" w:before="280"/>
      </w:pPr>
      <w:r>
        <w:rPr>
          <w:b/>
          <w:bCs/>
          <w:color w:val="2E5395"/>
        </w:rPr>
        <w:t xml:space="preserve">The Broader Implication</w:t>
      </w:r>
    </w:p>
    <w:p>
      <w:pPr>
        <w:spacing w:after="160" w:line="300"/>
      </w:pPr>
      <w:r>
        <w:t xml:space="preserve">This result unsettled a common assumption in enterprise AI strategy: that proprietary data plus dedicated training automatically produces a durable competitive advantage. As general-purpose frontier models kept improving, the specific edge that justified Bloomberg's multi-million-dollar training investment narrowed — a pattern industry analysts have since generalized into a broader warning about the diminishing value of proprietary data as general models keep improving.</w:t>
      </w:r>
    </w:p>
    <w:tbl>
      <w:tblPr>
        <w:tblW w:type="dxa" w:w="9360"/>
        <w:tblBorders>
          <w:top w:val="single" w:color="2E5395" w:sz="6"/>
          <w:left w:val="single" w:color="2E5395" w:sz="6"/>
          <w:bottom w:val="single" w:color="2E5395" w:sz="6"/>
          <w:right w:val="single" w:color="2E5395" w:sz="6"/>
          <w:insideH w:val="none" w:color="FFFFFF" w:sz="0"/>
          <w:insideV w:val="none" w:color="FFFFFF" w:sz="0"/>
        </w:tblBorders>
      </w:tblPr>
      <w:tblGrid>
        <w:gridCol w:w="9360"/>
      </w:tblGrid>
      <w:tr>
        <w:tc>
          <w:tcPr>
            <w:tcW w:type="dxa" w:w="9360"/>
            <w:shd w:fill="DDEBF7" w:val="clear"/>
            <w:tcMar>
              <w:top w:type="dxa" w:w="140"/>
              <w:left w:type="dxa" w:w="180"/>
              <w:bottom w:type="dxa" w:w="140"/>
              <w:right w:type="dxa" w:w="180"/>
            </w:tcMar>
          </w:tcPr>
          <w:p>
            <w:r>
              <w:rPr>
                <w:b/>
                <w:bCs/>
                <w:color w:val="2E5395"/>
              </w:rPr>
              <w:t xml:space="preserve">The Deeper Lesson</w:t>
            </w:r>
          </w:p>
          <w:p>
            <w:pPr>
              <w:spacing w:before="60"/>
            </w:pPr>
            <w:r>
              <w:t xml:space="preserve">This is not a story of fine-tuning being a bad idea — it's a story about the moving target of the RAG-vs-fine-tuning-vs-general-model decision (Sub-Lesson 4.6). A choice that looked justified in March 2023 looked far less clearly justified within about a year, as general model capability advanced faster than Bloomberg's fixed, trained-in financial knowledge could be updated. Fine-tuning and from-scratch training both freeze a snapshot in time — and the value of that snapshot decays as general models improve.</w:t>
            </w:r>
          </w:p>
        </w:tc>
      </w:tr>
    </w:tbl>
    <w:p>
      <w:pPr>
        <w:pStyle w:val="Heading2"/>
        <w:spacing w:after="120" w:before="280"/>
      </w:pPr>
      <w:r>
        <w:rPr>
          <w:b/>
          <w:bCs/>
          <w:color w:val="2E5395"/>
        </w:rPr>
        <w:t xml:space="preserve">Discussion Questions</w:t>
      </w:r>
    </w:p>
    <w:p>
      <w:pPr>
        <w:pStyle w:val="ListParagraph"/>
        <w:numPr>
          <w:ilvl w:val="0"/>
          <w:numId w:val="2"/>
        </w:numPr>
        <w:spacing w:after="80"/>
      </w:pPr>
      <w:r>
        <w:t xml:space="preserve">Bloomberg's team chose not to directly benchmark against GPT-4 in their original paper. What does that choice suggest about how confident they were in the comparison, and what should a PM learn from that about presenting eval results honestly?</w:t>
      </w:r>
    </w:p>
    <w:p>
      <w:pPr>
        <w:pStyle w:val="ListParagraph"/>
        <w:numPr>
          <w:ilvl w:val="0"/>
          <w:numId w:val="2"/>
        </w:numPr>
        <w:spacing w:after="80"/>
      </w:pPr>
      <w:r>
        <w:t xml:space="preserve">If Bloomberg were making this same decision today, given everything in Sub-Lesson 4.6's RAG-vs-fine-tuning framework, would you recommend the same approach? What would you do differently?</w:t>
      </w:r>
    </w:p>
    <w:p>
      <w:pPr>
        <w:pStyle w:val="ListParagraph"/>
        <w:numPr>
          <w:ilvl w:val="0"/>
          <w:numId w:val="2"/>
        </w:numPr>
        <w:spacing w:after="80"/>
      </w:pPr>
      <w:r>
        <w:t xml:space="preserve">BloombergGPT still won on some narrow, structured tasks. What does that suggest about combining approaches (RAG plus fine-tuning) rather than treating this as strictly binary?</w:t>
      </w:r>
    </w:p>
    <w:p>
      <w:pPr>
        <w:pStyle w:val="ListParagraph"/>
        <w:numPr>
          <w:ilvl w:val="0"/>
          <w:numId w:val="2"/>
        </w:numPr>
        <w:spacing w:after="80"/>
      </w:pPr>
      <w:r>
        <w:t xml:space="preserve">This decision was made in 2022–2023, before RAG was as mature or well-understood as it is now. How much should "the tools available at the time" excuse a decision that looks questionable in hindsight?</w:t>
      </w:r>
    </w:p>
    <w:p>
      <w:r>
        <w:br w:type="page"/>
      </w:r>
    </w:p>
    <w:tbl>
      <w:tblPr>
        <w:tblW w:type="dxa" w:w="9360"/>
        <w:tblBorders>
          <w:top w:val="single" w:color="2E7D32" w:sz="8"/>
          <w:left w:val="single" w:color="2E7D32" w:sz="8"/>
          <w:bottom w:val="single" w:color="2E7D32" w:sz="8"/>
          <w:right w:val="single" w:color="2E7D32" w:sz="8"/>
          <w:insideH w:val="none" w:color="FFFFFF" w:sz="0"/>
          <w:insideV w:val="none" w:color="FFFFFF" w:sz="0"/>
        </w:tblBorders>
      </w:tblPr>
      <w:tblGrid>
        <w:gridCol w:w="9360"/>
      </w:tblGrid>
      <w:tr>
        <w:tc>
          <w:tcPr>
            <w:tcW w:type="dxa" w:w="9360"/>
            <w:shd w:fill="2E7D32" w:val="clear"/>
            <w:tcMar>
              <w:top w:type="dxa" w:w="180"/>
              <w:left w:type="dxa" w:w="220"/>
              <w:bottom w:type="dxa" w:w="180"/>
              <w:right w:type="dxa" w:w="220"/>
            </w:tcMar>
          </w:tcPr>
          <w:p>
            <w:r>
              <w:rPr>
                <w:b/>
                <w:bCs/>
                <w:color w:val="FFFFFF"/>
                <w:sz w:val="19"/>
                <w:szCs w:val="19"/>
              </w:rPr>
              <w:t xml:space="preserve">CASE STUDY 3</w:t>
            </w:r>
          </w:p>
          <w:p>
            <w:pPr>
              <w:spacing w:before="60"/>
            </w:pPr>
            <w:r>
              <w:rPr>
                <w:b/>
                <w:bCs/>
                <w:color w:val="FFFFFF"/>
                <w:sz w:val="32"/>
                <w:szCs w:val="32"/>
              </w:rPr>
              <w:t xml:space="preserve">Morgan Stanley, Revisited</w:t>
            </w:r>
          </w:p>
          <w:p>
            <w:pPr>
              <w:spacing w:before="40"/>
            </w:pPr>
            <w:r>
              <w:rPr>
                <w:i/>
                <w:iCs/>
                <w:color w:val="FFFFFF"/>
                <w:sz w:val="21"/>
                <w:szCs w:val="21"/>
              </w:rPr>
              <w:t xml:space="preserve">A RAG Architecture Under the Hood</w:t>
            </w:r>
          </w:p>
        </w:tc>
      </w:tr>
    </w:tbl>
    <w:p>
      <w:pPr>
        <w:spacing w:after="120"/>
      </w:pPr>
    </w:p>
    <w:p>
      <w:pPr>
        <w:pStyle w:val="Heading2"/>
        <w:spacing w:after="120" w:before="280"/>
      </w:pPr>
      <w:r>
        <w:rPr>
          <w:b/>
          <w:bCs/>
          <w:color w:val="2E5395"/>
        </w:rPr>
        <w:t xml:space="preserve">Background</w:t>
      </w:r>
    </w:p>
    <w:p>
      <w:pPr>
        <w:spacing w:after="160" w:line="300"/>
      </w:pPr>
      <w:r>
        <w:t xml:space="preserve">This course covered Morgan Stanley's AI-powered internal research assistant in Lesson 1, as a model of disciplined opportunity assessment. Here, the same real deployment is examined through a different lens: the technical architecture underneath it.</w:t>
      </w:r>
    </w:p>
    <w:p>
      <w:pPr>
        <w:pStyle w:val="Heading2"/>
        <w:spacing w:after="120" w:before="280"/>
      </w:pPr>
      <w:r>
        <w:rPr>
          <w:b/>
          <w:bCs/>
          <w:color w:val="2E5395"/>
        </w:rPr>
        <w:t xml:space="preserve">The Architecture, in Engineering Terms</w:t>
      </w:r>
    </w:p>
    <w:p>
      <w:pPr>
        <w:pStyle w:val="ListParagraph"/>
        <w:numPr>
          <w:ilvl w:val="0"/>
          <w:numId w:val="2"/>
        </w:numPr>
        <w:spacing w:after="80"/>
      </w:pPr>
      <w:r>
        <w:t xml:space="preserve">Scale of the knowledge base: over 100,000 internal research documents at launch, growing past 350,000 as the system expanded — a real-world example of Sub-Lesson 4.4's "choosing a vector database that scales" problem, not a toy dataset.</w:t>
      </w:r>
    </w:p>
    <w:p>
      <w:pPr>
        <w:pStyle w:val="ListParagraph"/>
        <w:numPr>
          <w:ilvl w:val="0"/>
          <w:numId w:val="2"/>
        </w:numPr>
        <w:spacing w:after="80"/>
      </w:pPr>
      <w:r>
        <w:t xml:space="preserve">The RAG pipeline: advisor questions are embedded, matched against the firm's own embedded document corpus (Sub-Lesson 4.5), and the most relevant material is retrieved and handed to the model alongside the original question, rather than relying on the model's general training knowledge about finance.</w:t>
      </w:r>
    </w:p>
    <w:p>
      <w:pPr>
        <w:pStyle w:val="ListParagraph"/>
        <w:numPr>
          <w:ilvl w:val="0"/>
          <w:numId w:val="2"/>
        </w:numPr>
        <w:spacing w:after="80"/>
      </w:pPr>
      <w:r>
        <w:t xml:space="preserve">Evaluation before launch: Morgan Stanley spent months curating documents and used human experts to test responses before the tool ever reached advisors, building a rigorous evaluation framework testing factuality, relevance, and hallucination rate (Sub-Lesson 4.10) in partnership with OpenAI.</w:t>
      </w:r>
    </w:p>
    <w:p>
      <w:pPr>
        <w:pStyle w:val="ListParagraph"/>
        <w:numPr>
          <w:ilvl w:val="0"/>
          <w:numId w:val="2"/>
        </w:numPr>
        <w:spacing w:after="80"/>
      </w:pPr>
      <w:r>
        <w:t xml:space="preserve">Pipeline expansion over time: a second tool, Debrief, was added in 2024 to handle a different stage of the pipeline — automatically generating meeting notes and follow-up actions from advisor-client conversations, with client consent.</w:t>
      </w:r>
    </w:p>
    <w:p>
      <w:pPr>
        <w:pStyle w:val="Heading2"/>
        <w:spacing w:after="120" w:before="280"/>
      </w:pPr>
      <w:r>
        <w:rPr>
          <w:b/>
          <w:bCs/>
          <w:color w:val="2E5395"/>
        </w:rPr>
        <w:t xml:space="preserve">Why the Architecture Choices Mattered</w:t>
      </w:r>
    </w:p>
    <w:p>
      <w:pPr>
        <w:spacing w:after="160" w:line="300"/>
      </w:pPr>
      <w:r>
        <w:t xml:space="preserve">Retrieval efficiency reportedly rose from about 20% to 80% after the RAG system launched — a direct, measurable result of the embedding and retrieval architecture, not just the underlying model's raw capability. This is the same lesson Sub-Lesson 4.4 makes about vector databases and Sub-Lesson 4.5 makes about embeddings and chunking: the retrieval layer is not a minor implementation detail, it is frequently the largest lever on real-world answer quality.</w:t>
      </w:r>
    </w:p>
    <w:tbl>
      <w:tblPr>
        <w:tblW w:type="dxa" w:w="9360"/>
        <w:tblBorders>
          <w:top w:val="single" w:color="2E7D32" w:sz="6"/>
          <w:left w:val="single" w:color="2E7D32" w:sz="6"/>
          <w:bottom w:val="single" w:color="2E7D32" w:sz="6"/>
          <w:right w:val="single" w:color="2E7D32" w:sz="6"/>
          <w:insideH w:val="none" w:color="FFFFFF" w:sz="0"/>
          <w:insideV w:val="none" w:color="FFFFFF" w:sz="0"/>
        </w:tblBorders>
      </w:tblPr>
      <w:tblGrid>
        <w:gridCol w:w="9360"/>
      </w:tblGrid>
      <w:tr>
        <w:tc>
          <w:tcPr>
            <w:tcW w:type="dxa" w:w="9360"/>
            <w:shd w:fill="E8F5E9" w:val="clear"/>
            <w:tcMar>
              <w:top w:type="dxa" w:w="140"/>
              <w:left w:type="dxa" w:w="180"/>
              <w:bottom w:type="dxa" w:w="140"/>
              <w:right w:type="dxa" w:w="180"/>
            </w:tcMar>
          </w:tcPr>
          <w:p>
            <w:r>
              <w:rPr>
                <w:b/>
                <w:bCs/>
                <w:color w:val="2E7D32"/>
              </w:rPr>
              <w:t xml:space="preserve">The Deeper Lesson</w:t>
            </w:r>
          </w:p>
          <w:p>
            <w:pPr>
              <w:spacing w:before="60"/>
            </w:pPr>
            <w:r>
              <w:t xml:space="preserve">Compare this deployment's evaluation discipline to BloombergGPT's more contested benchmarking, and to Uber's admitted difficulty connecting token spend to results. Morgan Stanley invested heavily in the evaluation and retrieval architecture before scaling — exactly the sequence Sub-Lesson 4.10 argues for, and exactly what separates a well-engineered production RAG system from one that merely demos well.</w:t>
            </w:r>
          </w:p>
        </w:tc>
      </w:tr>
    </w:tbl>
    <w:p>
      <w:pPr>
        <w:pStyle w:val="Heading2"/>
        <w:spacing w:after="120" w:before="280"/>
      </w:pPr>
      <w:r>
        <w:rPr>
          <w:b/>
          <w:bCs/>
          <w:color w:val="2E5395"/>
        </w:rPr>
        <w:t xml:space="preserve">Discussion Questions</w:t>
      </w:r>
    </w:p>
    <w:p>
      <w:pPr>
        <w:pStyle w:val="ListParagraph"/>
        <w:numPr>
          <w:ilvl w:val="0"/>
          <w:numId w:val="2"/>
        </w:numPr>
        <w:spacing w:after="80"/>
      </w:pPr>
      <w:r>
        <w:t xml:space="preserve">Retrieval efficiency rose from 20% to 80% after the RAG system launched. What does that specific number tell you about where the real value in this system came from — the model, or the architecture around it?</w:t>
      </w:r>
    </w:p>
    <w:p>
      <w:pPr>
        <w:pStyle w:val="ListParagraph"/>
        <w:numPr>
          <w:ilvl w:val="0"/>
          <w:numId w:val="2"/>
        </w:numPr>
        <w:spacing w:after="80"/>
      </w:pPr>
      <w:r>
        <w:t xml:space="preserve">How would you design an eval set (Sub-Lesson 4.10) to test whether a system like this one is retrieving the right documents, separately from testing whether it writes a good final answer?</w:t>
      </w:r>
    </w:p>
    <w:p>
      <w:pPr>
        <w:pStyle w:val="ListParagraph"/>
        <w:numPr>
          <w:ilvl w:val="0"/>
          <w:numId w:val="2"/>
        </w:numPr>
        <w:spacing w:after="80"/>
      </w:pPr>
      <w:r>
        <w:t xml:space="preserve">This system grew from one tool (research assistant) to two (adding Debrief). What does that suggest about how enterprise AI pipelines evolve over time, versus being fully specified upfront?</w:t>
      </w:r>
    </w:p>
    <w:p>
      <w:pPr>
        <w:pStyle w:val="ListParagraph"/>
        <w:numPr>
          <w:ilvl w:val="0"/>
          <w:numId w:val="2"/>
        </w:numPr>
        <w:spacing w:after="80"/>
      </w:pPr>
      <w:r>
        <w:t xml:space="preserve">For the enterprise AI architecture you'll design as this lesson's deliverable, what's the equivalent of Morgan Stanley's document corpus — and how would you decide when it's large enough to need a dedicated vector database rather than a simpler solution?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2026-07-31T13:51:00.283Z</dcterms:created>
  <dcterms:modified xsi:type="dcterms:W3CDTF">2026-07-31T13:51:00.283Z</dcterms:modified>
</cp:coreProperties>
</file>

<file path=docProps/custom.xml><?xml version="1.0" encoding="utf-8"?>
<Properties xmlns="http://schemas.openxmlformats.org/officeDocument/2006/custom-properties" xmlns:vt="http://schemas.openxmlformats.org/officeDocument/2006/docPropsVTypes"/>
</file>