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00"/>
        <w:jc w:val="center"/>
      </w:pPr>
      <w:r>
        <w:rPr>
          <w:b/>
          <w:bCs/>
          <w:color w:val="2E5395"/>
          <w:sz w:val="28"/>
          <w:szCs w:val="28"/>
        </w:rPr>
        <w:t xml:space="preserve">LESSON 4 DELIVERABLE</w:t>
      </w:r>
    </w:p>
    <w:p>
      <w:pPr>
        <w:spacing w:after="200" w:before="200"/>
        <w:jc w:val="center"/>
      </w:pPr>
      <w:r>
        <w:rPr>
          <w:b/>
          <w:bCs/>
          <w:color w:val="1F3864"/>
          <w:sz w:val="34"/>
          <w:szCs w:val="34"/>
        </w:rPr>
        <w:t xml:space="preserve">Enterprise AI Architecture Design</w:t>
      </w:r>
    </w:p>
    <w:p>
      <w:pPr>
        <w:jc w:val="center"/>
      </w:pPr>
      <w:r>
        <w:rPr>
          <w:i/>
          <w:iCs/>
          <w:color w:val="555555"/>
          <w:sz w:val="24"/>
          <w:szCs w:val="24"/>
        </w:rPr>
        <w:t xml:space="preserve">Assignment Brief, Template, and Grading Rubric</w:t>
      </w:r>
    </w:p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1F3864"/>
        </w:rPr>
        <w:t xml:space="preserve">Assignment Overview</w:t>
      </w:r>
    </w:p>
    <w:p>
      <w:pPr>
        <w:spacing w:after="160" w:line="300"/>
      </w:pPr>
      <w:r>
        <w:t xml:space="preserve">Design a complete, enterprise-scale AI architecture for a real or realistic business problem. This is a step up in scale and rigor from Lesson 2's AI Architecture Design deliverable — here, the emphasis is on the engineering layer: infrastructure choices, retrieval architecture, serving strategy, and a real cost model, at a scale where these decisions have serious consequences (as this lesson's case studies show).</w:t>
      </w:r>
    </w:p>
    <w:p>
      <w:pPr>
        <w:pStyle w:val="Heading2"/>
        <w:spacing w:after="120" w:before="280"/>
      </w:pPr>
      <w:r>
        <w:rPr>
          <w:b/>
          <w:bCs/>
          <w:color w:val="2E5395"/>
        </w:rPr>
        <w:t xml:space="preserve">Learning Objectives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Design a full RAG pipeline (chunking, embedding, vector database, retrieval, generation) for a specific enterprise use case.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Make and justify a fine-tuning vs. RAG vs. general-model decision using the framework from this lesson.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Choose and defend a model-serving strategy appropriate to a stated scale and constraint set.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Build a realistic token economics model, including an agentic-workload cost multiplier if relevant.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Design an evaluation framework that would catch a Uber-style cost surprise or a BloombergGPT-style capability gap before either became a crisis.</w:t>
      </w:r>
    </w:p>
    <w:p>
      <w:pPr>
        <w:pStyle w:val="Heading2"/>
        <w:spacing w:after="120" w:before="280"/>
      </w:pPr>
      <w:r>
        <w:rPr>
          <w:b/>
          <w:bCs/>
          <w:color w:val="2E5395"/>
        </w:rPr>
        <w:t xml:space="preserve">Choosing a Scenario</w:t>
      </w:r>
    </w:p>
    <w:p>
      <w:pPr>
        <w:spacing w:after="160" w:line="300"/>
      </w:pPr>
      <w:r>
        <w:t xml:space="preserve">Pick an enterprise-scale scenario with real constraints attached — a stated volume (e.g., "50,000 employees," "2 million customer conversations per month"), a stated data sensitivity level, and a stated industry (which implies compliance or governance constraints). Good examples: "an internal legal research assistant for a 5,000-person law firm," "a customer support AI for a bank handling regulated financial advice," "a manufacturing company's AI-powered equipment maintenance assistant across 40 factories."</w:t>
      </w:r>
    </w:p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1F3864"/>
        </w:rPr>
        <w:t xml:space="preserve">Architecture Design Structure</w:t>
      </w:r>
    </w:p>
    <w:p>
      <w:pPr>
        <w:spacing w:after="160" w:line="300"/>
      </w:pPr>
      <w:r>
        <w:t xml:space="preserve">Your design should include the following eight sections. Suggested length: 5–8 pages, or the equivalent as an annotated architecture diagram plus supporting notes.</w:t>
      </w:r>
    </w:p>
    <w:p>
      <w:pPr>
        <w:pStyle w:val="Heading2"/>
        <w:spacing w:after="120" w:before="280"/>
      </w:pPr>
      <w:r>
        <w:rPr>
          <w:b/>
          <w:bCs/>
          <w:color w:val="2E5395"/>
        </w:rPr>
        <w:t xml:space="preserve">Section 1 — Scenario &amp; Constraints</w:t>
      </w:r>
    </w:p>
    <w:p>
      <w:pPr>
        <w:spacing w:after="160" w:line="300"/>
      </w:pPr>
      <w:r>
        <w:t xml:space="preserve">One paragraph: the business problem, stated scale (volume), data sensitivity level, and any relevant regulatory or compliance constraints.</w:t>
      </w:r>
    </w:p>
    <w:p>
      <w:pPr>
        <w:pStyle w:val="Heading2"/>
        <w:spacing w:after="120" w:before="280"/>
      </w:pPr>
      <w:r>
        <w:rPr>
          <w:b/>
          <w:bCs/>
          <w:color w:val="2E5395"/>
        </w:rPr>
        <w:t xml:space="preserve">Section 2 — API &amp; Model Layer</w:t>
      </w:r>
    </w:p>
    <w:p>
      <w:pPr>
        <w:spacing w:after="160" w:line="300"/>
      </w:pPr>
      <w:r>
        <w:t xml:space="preserve">Which model(s) will you call, and via what kind of access (closed API, managed open-weight, self-hosted)? Justify using Sub-Lessons 4.1, 4.8, and the Model Selection framework from Lesson 2.</w:t>
      </w:r>
    </w:p>
    <w:p>
      <w:pPr>
        <w:pStyle w:val="Heading2"/>
        <w:spacing w:after="120" w:before="280"/>
      </w:pPr>
      <w:r>
        <w:rPr>
          <w:b/>
          <w:bCs/>
          <w:color w:val="2E5395"/>
        </w:rPr>
        <w:t xml:space="preserve">Section 3 — RAG &amp; Retrieval Architecture</w:t>
      </w:r>
    </w:p>
    <w:p>
      <w:pPr>
        <w:spacing w:after="160" w:line="300"/>
      </w:pPr>
      <w:r>
        <w:t xml:space="preserve">Design the full pipeline: what gets chunked and how, what embedding approach you'll use, which vector database you're choosing and why (referencing the comparison table from Sub-Lesson 4.4), and what your retrieval strategy looks like at your stated scale.</w:t>
      </w:r>
    </w:p>
    <w:p>
      <w:pPr>
        <w:pStyle w:val="Heading2"/>
        <w:spacing w:after="120" w:before="280"/>
      </w:pPr>
      <w:r>
        <w:rPr>
          <w:b/>
          <w:bCs/>
          <w:color w:val="2E5395"/>
        </w:rPr>
        <w:t xml:space="preserve">Section 4 — Fine-Tuning Decision</w:t>
      </w:r>
    </w:p>
    <w:p>
      <w:pPr>
        <w:spacing w:after="160" w:line="300"/>
      </w:pPr>
      <w:r>
        <w:t xml:space="preserve">State explicitly: are you fine-tuning anything? Why or why not? If yes, what specifically (behavior, format, terminology) justifies it over RAG alone? Reference the BloombergGPT case study's lesson about the risk of a frozen snapshot losing its edge over time.</w:t>
      </w:r>
    </w:p>
    <w:p>
      <w:pPr>
        <w:pStyle w:val="Heading2"/>
        <w:spacing w:after="120" w:before="280"/>
      </w:pPr>
      <w:r>
        <w:rPr>
          <w:b/>
          <w:bCs/>
          <w:color w:val="2E5395"/>
        </w:rPr>
        <w:t xml:space="preserve">Section 5 — Pipeline &amp; Serving Design</w:t>
      </w:r>
    </w:p>
    <w:p>
      <w:pPr>
        <w:spacing w:after="160" w:line="300"/>
      </w:pPr>
      <w:r>
        <w:t xml:space="preserve">Trace the full pipeline (Sub-Lesson 4.7) from input to output, including any content moderation, logging, or human-escalation stages. State your serving approach (Sub-Lesson 4.8) and justify it against your stated scale and constraints.</w:t>
      </w:r>
    </w:p>
    <w:p>
      <w:pPr>
        <w:pStyle w:val="Heading2"/>
        <w:spacing w:after="120" w:before="280"/>
      </w:pPr>
      <w:r>
        <w:rPr>
          <w:b/>
          <w:bCs/>
          <w:color w:val="2E5395"/>
        </w:rPr>
        <w:t xml:space="preserve">Section 6 — Token Economics &amp; Cost Model</w:t>
      </w:r>
    </w:p>
    <w:p>
      <w:pPr>
        <w:spacing w:after="160" w:line="300"/>
      </w:pPr>
      <w:r>
        <w:t xml:space="preserve">Provide a real monthly cost estimate at your stated volume, showing your math. If any part of your architecture is agentic (multi-step), explicitly model the token multiplier effect the Uber case study illustrates, and state what spending controls (caps, alerts, budget reviews) you'd put in place.</w:t>
      </w:r>
    </w:p>
    <w:p>
      <w:pPr>
        <w:pStyle w:val="Heading2"/>
        <w:spacing w:after="120" w:before="280"/>
      </w:pPr>
      <w:r>
        <w:rPr>
          <w:b/>
          <w:bCs/>
          <w:color w:val="2E5395"/>
        </w:rPr>
        <w:t xml:space="preserve">Section 7 — Evaluation Framework</w:t>
      </w:r>
    </w:p>
    <w:p>
      <w:pPr>
        <w:spacing w:after="160" w:line="300"/>
      </w:pPr>
      <w:r>
        <w:t xml:space="preserve">Design a real eval framework (Sub-Lesson 4.10): a test set description, the specific metrics you'd track, a shipping threshold, and a plan for ongoing regression testing as the system changes.</w:t>
      </w:r>
    </w:p>
    <w:p>
      <w:pPr>
        <w:pStyle w:val="Heading2"/>
        <w:spacing w:after="120" w:before="280"/>
      </w:pPr>
      <w:r>
        <w:rPr>
          <w:b/>
          <w:bCs/>
          <w:color w:val="2E5395"/>
        </w:rPr>
        <w:t xml:space="preserve">Section 8 — Risk &amp; Failure Modes</w:t>
      </w:r>
    </w:p>
    <w:p>
      <w:pPr>
        <w:spacing w:after="160" w:line="300"/>
      </w:pPr>
      <w:r>
        <w:t xml:space="preserve">Name the two most likely ways this architecture fails in production (cost overrun, retrieval quality degradation, latency issues, a compliance violation) and what specific design choice from Sections 2–7 mitigates each one.</w:t>
      </w:r>
    </w:p>
    <w:tbl>
      <w:tblPr>
        <w:tblW w:type="dxa" w:w="9360"/>
        <w:tblBorders>
          <w:top w:val="single" w:color="B8860B" w:sz="6"/>
          <w:left w:val="single" w:color="B8860B" w:sz="6"/>
          <w:bottom w:val="single" w:color="B8860B" w:sz="6"/>
          <w:right w:val="single" w:color="B8860B" w:sz="6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BF3E3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r>
              <w:rPr>
                <w:b/>
                <w:bCs/>
                <w:color w:val="B8860B"/>
              </w:rPr>
              <w:t xml:space="preserve">Instructor Note</w:t>
            </w:r>
          </w:p>
          <w:p>
            <w:pPr>
              <w:spacing w:before="60"/>
            </w:pPr>
            <w:r>
              <w:t xml:space="preserve">Section 8 is the section most likely to be rushed. Consider requiring students to name at least one risk drawn specifically from this lesson's three case studies (a Uber-style cost surprise, a BloombergGPT-style capability gap, or a Morgan Stanley-style retrieval quality issue) to ensure they've actually internalized the lessons, not just described a generic architecture.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1F3864"/>
        </w:rPr>
        <w:t xml:space="preserve">Grading Rubric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200"/>
        <w:gridCol w:w="4560"/>
      </w:tblGrid>
      <w:tr>
        <w:trPr>
          <w:tblHeader/>
        </w:trPr>
        <w:tc>
          <w:tcPr>
            <w:tcW w:type="dxa" w:w="3600"/>
            <w:shd w:fill="1F3864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Criterion</w:t>
            </w:r>
          </w:p>
        </w:tc>
        <w:tc>
          <w:tcPr>
            <w:tcW w:type="dxa" w:w="1200"/>
            <w:shd w:fill="1F3864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Weight</w:t>
            </w:r>
          </w:p>
        </w:tc>
        <w:tc>
          <w:tcPr>
            <w:tcW w:type="dxa" w:w="4560"/>
            <w:shd w:fill="1F3864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What "Strong" Looks Like</w:t>
            </w:r>
          </w:p>
        </w:tc>
      </w:tr>
      <w:tr>
        <w:tc>
          <w:tcPr>
            <w:tcW w:type="dxa" w:w="36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Scenario Realism &amp; API/Model Layer (Sections 1–2)</w:t>
            </w:r>
          </w:p>
        </w:tc>
        <w:tc>
          <w:tcPr>
            <w:tcW w:type="dxa" w:w="12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15%</w:t>
            </w:r>
          </w:p>
        </w:tc>
        <w:tc>
          <w:tcPr>
            <w:tcW w:type="dxa" w:w="456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Realistic constraints that actually shape later decisions, and a defensible model/access choice</w:t>
            </w:r>
          </w:p>
        </w:tc>
      </w:tr>
      <w:tr>
        <w:tc>
          <w:tcPr>
            <w:tcW w:type="dxa" w:w="3600"/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RAG &amp; Retrieval Architecture (Section 3)</w:t>
            </w:r>
          </w:p>
        </w:tc>
        <w:tc>
          <w:tcPr>
            <w:tcW w:type="dxa" w:w="1200"/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20%</w:t>
            </w:r>
          </w:p>
        </w:tc>
        <w:tc>
          <w:tcPr>
            <w:tcW w:type="dxa" w:w="4560"/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Specific chunking, embedding, and vector database choices with real reasoning, not defaults</w:t>
            </w:r>
          </w:p>
        </w:tc>
      </w:tr>
      <w:tr>
        <w:tc>
          <w:tcPr>
            <w:tcW w:type="dxa" w:w="36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Fine-Tuning Decision (Section 4)</w:t>
            </w:r>
          </w:p>
        </w:tc>
        <w:tc>
          <w:tcPr>
            <w:tcW w:type="dxa" w:w="12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10%</w:t>
            </w:r>
          </w:p>
        </w:tc>
        <w:tc>
          <w:tcPr>
            <w:tcW w:type="dxa" w:w="456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A clear, justified yes/no with awareness of the frozen-snapshot risk</w:t>
            </w:r>
          </w:p>
        </w:tc>
      </w:tr>
      <w:tr>
        <w:tc>
          <w:tcPr>
            <w:tcW w:type="dxa" w:w="3600"/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Pipeline &amp; Serving Design (Section 5)</w:t>
            </w:r>
          </w:p>
        </w:tc>
        <w:tc>
          <w:tcPr>
            <w:tcW w:type="dxa" w:w="1200"/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15%</w:t>
            </w:r>
          </w:p>
        </w:tc>
        <w:tc>
          <w:tcPr>
            <w:tcW w:type="dxa" w:w="4560"/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A realistically detailed pipeline (6+ stages) and a serving choice matched to real constraints</w:t>
            </w:r>
          </w:p>
        </w:tc>
      </w:tr>
      <w:tr>
        <w:tc>
          <w:tcPr>
            <w:tcW w:type="dxa" w:w="36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Token Economics &amp; Cost Model (Section 6)</w:t>
            </w:r>
          </w:p>
        </w:tc>
        <w:tc>
          <w:tcPr>
            <w:tcW w:type="dxa" w:w="12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20%</w:t>
            </w:r>
          </w:p>
        </w:tc>
        <w:tc>
          <w:tcPr>
            <w:tcW w:type="dxa" w:w="456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Real math, an explicit agentic multiplier if relevant, and concrete spending controls</w:t>
            </w:r>
          </w:p>
        </w:tc>
      </w:tr>
      <w:tr>
        <w:tc>
          <w:tcPr>
            <w:tcW w:type="dxa" w:w="3600"/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Evaluation Framework (Section 7)</w:t>
            </w:r>
          </w:p>
        </w:tc>
        <w:tc>
          <w:tcPr>
            <w:tcW w:type="dxa" w:w="1200"/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10%</w:t>
            </w:r>
          </w:p>
        </w:tc>
        <w:tc>
          <w:tcPr>
            <w:tcW w:type="dxa" w:w="4560"/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A genuinely testable eval set with a real shipping threshold</w:t>
            </w:r>
          </w:p>
        </w:tc>
      </w:tr>
      <w:tr>
        <w:tc>
          <w:tcPr>
            <w:tcW w:type="dxa" w:w="36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Risk &amp; Failure Modes (Section 8)</w:t>
            </w:r>
          </w:p>
        </w:tc>
        <w:tc>
          <w:tcPr>
            <w:tcW w:type="dxa" w:w="12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10%</w:t>
            </w:r>
          </w:p>
        </w:tc>
        <w:tc>
          <w:tcPr>
            <w:tcW w:type="dxa" w:w="456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Specific risks tied to specific mitigations, referencing at least one lesson from the case studies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B8860B" w:sz="6"/>
          <w:left w:val="single" w:color="B8860B" w:sz="6"/>
          <w:bottom w:val="single" w:color="B8860B" w:sz="6"/>
          <w:right w:val="single" w:color="B8860B" w:sz="6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BF3E3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r>
              <w:rPr>
                <w:b/>
                <w:bCs/>
                <w:color w:val="B8860B"/>
              </w:rPr>
              <w:t xml:space="preserve">A Note on Grading Philosophy</w:t>
            </w:r>
          </w:p>
          <w:p>
            <w:pPr>
              <w:spacing w:before="60"/>
            </w:pPr>
            <w:r>
              <w:t xml:space="preserve">The strongest architectures show visible awareness of the trade-offs this lesson covered — a design that reads as 'biggest model, biggest context window, most managed everything' without cost or risk reasoning should score lower than a leaner, well-justified design that explicitly accounts for cost and failure modes.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1F3864"/>
        </w:rPr>
        <w:t xml:space="preserve">Submission Checklist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All eight sections are present, in order.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specific model and access method are named and justified against stated constraints.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RAG pipeline includes specific chunking, embedding, and vector database choices with reasoning.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fine-tuning decision is explicit (yes or no) and justified, referencing the RAG-vs-fine-tuning framework.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pipeline trace includes at least 6 real stages, not just "input → model → output."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cost model shows real math tied to a stated volume, including an agentic multiplier if applicable.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evaluation framework includes a specific test set description and a stated shipping threshold.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At least one named risk is tied directly to a lesson from this module's case studies.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◦"/>
      <w:lvlJc w:val="left"/>
      <w:pPr>
        <w:ind w:left="7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2026-07-31T13:51:48.736Z</dcterms:created>
  <dcterms:modified xsi:type="dcterms:W3CDTF">2026-07-31T13:51:48.736Z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