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2E5395"/>
          <w:sz w:val="28"/>
          <w:szCs w:val="28"/>
        </w:rPr>
        <w:t xml:space="preserve">LESSON 4</w:t>
      </w:r>
    </w:p>
    <w:p>
      <w:pPr>
        <w:spacing w:after="200" w:before="200"/>
        <w:jc w:val="center"/>
      </w:pPr>
      <w:r>
        <w:rPr>
          <w:b/>
          <w:bCs/>
          <w:color w:val="1F3864"/>
          <w:sz w:val="34"/>
          <w:szCs w:val="34"/>
        </w:rPr>
        <w:t xml:space="preserve">AI Engineering Concepts for Product Managers</w:t>
      </w:r>
    </w:p>
    <w:p>
      <w:pPr>
        <w:jc w:val="center"/>
      </w:pPr>
      <w:r>
        <w:rPr>
          <w:i/>
          <w:iCs/>
          <w:color w:val="555555"/>
          <w:sz w:val="24"/>
          <w:szCs w:val="24"/>
        </w:rPr>
        <w:t xml:space="preserve">Understand the Technical Stack Without Becoming an ML Engineer</w:t>
      </w:r>
    </w:p>
    <w:p>
      <w:pPr>
        <w:spacing w:before="500"/>
        <w:jc w:val="center"/>
      </w:pPr>
      <w:r>
        <w:rPr>
          <w:color w:val="666666"/>
          <w:sz w:val="20"/>
          <w:szCs w:val="20"/>
        </w:rPr>
        <w:t xml:space="preserve">Main Lesson Document</w:t>
      </w:r>
    </w:p>
    <w:p>
      <w:r>
        <w:br w:type="page"/>
      </w:r>
    </w:p>
    <w:p>
      <w:pPr>
        <w:pStyle w:val="Heading1"/>
        <w:spacing w:after="160" w:before="360"/>
      </w:pPr>
      <w:r>
        <w:rPr>
          <w:b/>
          <w:bCs/>
          <w:color w:val="1F3864"/>
        </w:rPr>
        <w:t xml:space="preserve">Lesson Overview</w:t>
      </w:r>
    </w:p>
    <w:p>
      <w:pPr>
        <w:pStyle w:val="Heading2"/>
        <w:spacing w:after="120" w:before="280"/>
      </w:pPr>
      <w:r>
        <w:rPr>
          <w:b/>
          <w:bCs/>
          <w:color w:val="2E5395"/>
        </w:rPr>
        <w:t xml:space="preserve">Goal</w:t>
      </w:r>
    </w:p>
    <w:p>
      <w:pPr>
        <w:spacing w:after="160" w:line="300"/>
      </w:pPr>
      <w:r>
        <w:t xml:space="preserve">Understand the technical stack without becoming an ML engineer. This lesson moves from the conceptual mechanics covered in Lesson 2 (how a model works) into the engineering layer: how AI features actually get built, deployed, and paid for in production. The goal is fluency to make and defend architecture decisions — not the ability to build the infrastructure yourself.</w:t>
      </w:r>
    </w:p>
    <w:p>
      <w:pPr>
        <w:pStyle w:val="Heading2"/>
        <w:spacing w:after="120" w:before="280"/>
      </w:pPr>
      <w:r>
        <w:rPr>
          <w:b/>
          <w:bCs/>
          <w:color w:val="2E5395"/>
        </w:rPr>
        <w:t xml:space="preserve">Topics Covered</w:t>
      </w:r>
    </w:p>
    <w:p>
      <w:pPr>
        <w:pStyle w:val="ListParagraph"/>
        <w:numPr>
          <w:ilvl w:val="0"/>
          <w:numId w:val="2"/>
        </w:numPr>
        <w:spacing w:after="80"/>
      </w:pPr>
      <w:r>
        <w:t xml:space="preserve">APIs</w:t>
      </w:r>
    </w:p>
    <w:p>
      <w:pPr>
        <w:pStyle w:val="ListParagraph"/>
        <w:numPr>
          <w:ilvl w:val="0"/>
          <w:numId w:val="2"/>
        </w:numPr>
        <w:spacing w:after="80"/>
      </w:pPr>
      <w:r>
        <w:t xml:space="preserve">AI Infrastructure</w:t>
      </w:r>
    </w:p>
    <w:p>
      <w:pPr>
        <w:pStyle w:val="ListParagraph"/>
        <w:numPr>
          <w:ilvl w:val="0"/>
          <w:numId w:val="2"/>
        </w:numPr>
        <w:spacing w:after="80"/>
      </w:pPr>
      <w:r>
        <w:t xml:space="preserve">RAG</w:t>
      </w:r>
    </w:p>
    <w:p>
      <w:pPr>
        <w:pStyle w:val="ListParagraph"/>
        <w:numPr>
          <w:ilvl w:val="0"/>
          <w:numId w:val="2"/>
        </w:numPr>
        <w:spacing w:after="80"/>
      </w:pPr>
      <w:r>
        <w:t xml:space="preserve">Vector Databases</w:t>
      </w:r>
    </w:p>
    <w:p>
      <w:pPr>
        <w:pStyle w:val="ListParagraph"/>
        <w:numPr>
          <w:ilvl w:val="0"/>
          <w:numId w:val="2"/>
        </w:numPr>
        <w:spacing w:after="80"/>
      </w:pPr>
      <w:r>
        <w:t xml:space="preserve">Embeddings</w:t>
      </w:r>
    </w:p>
    <w:p>
      <w:pPr>
        <w:pStyle w:val="ListParagraph"/>
        <w:numPr>
          <w:ilvl w:val="0"/>
          <w:numId w:val="2"/>
        </w:numPr>
        <w:spacing w:after="80"/>
      </w:pPr>
      <w:r>
        <w:t xml:space="preserve">Fine-Tuning</w:t>
      </w:r>
    </w:p>
    <w:p>
      <w:pPr>
        <w:pStyle w:val="ListParagraph"/>
        <w:numPr>
          <w:ilvl w:val="0"/>
          <w:numId w:val="2"/>
        </w:numPr>
        <w:spacing w:after="80"/>
      </w:pPr>
      <w:r>
        <w:t xml:space="preserve">AI Pipelines</w:t>
      </w:r>
    </w:p>
    <w:p>
      <w:pPr>
        <w:pStyle w:val="ListParagraph"/>
        <w:numPr>
          <w:ilvl w:val="0"/>
          <w:numId w:val="2"/>
        </w:numPr>
        <w:spacing w:after="80"/>
      </w:pPr>
      <w:r>
        <w:t xml:space="preserve">Model Serving</w:t>
      </w:r>
    </w:p>
    <w:p>
      <w:pPr>
        <w:pStyle w:val="ListParagraph"/>
        <w:numPr>
          <w:ilvl w:val="0"/>
          <w:numId w:val="2"/>
        </w:numPr>
        <w:spacing w:after="80"/>
      </w:pPr>
      <w:r>
        <w:t xml:space="preserve">Token Economics</w:t>
      </w:r>
    </w:p>
    <w:p>
      <w:pPr>
        <w:pStyle w:val="ListParagraph"/>
        <w:numPr>
          <w:ilvl w:val="0"/>
          <w:numId w:val="2"/>
        </w:numPr>
        <w:spacing w:after="80"/>
      </w:pPr>
      <w:r>
        <w:t xml:space="preserve">AI Evaluation</w:t>
      </w:r>
    </w:p>
    <w:p>
      <w:pPr>
        <w:pStyle w:val="Heading2"/>
        <w:spacing w:after="120" w:before="280"/>
      </w:pPr>
      <w:r>
        <w:rPr>
          <w:b/>
          <w:bCs/>
          <w:color w:val="2E5395"/>
        </w:rPr>
        <w:t xml:space="preserve">Deliverable</w:t>
      </w:r>
    </w:p>
    <w:p>
      <w:pPr>
        <w:spacing w:after="160" w:line="300"/>
      </w:pPr>
      <w:r>
        <w:t xml:space="preserve">Students will design an enterprise AI architecture — a full technical architecture proposal for an AI feature at enterprise scale, covering every layer from API access through cost model and evaluation plan. (Full assignment brief is a separate document.)</w:t>
      </w:r>
    </w:p>
    <w:tbl>
      <w:tblPr>
        <w:tblW w:type="dxa" w:w="9360"/>
        <w:tblBorders>
          <w:top w:val="single" w:color="2E5395" w:sz="6"/>
          <w:left w:val="single" w:color="2E5395" w:sz="6"/>
          <w:bottom w:val="single" w:color="2E5395" w:sz="6"/>
          <w:right w:val="single" w:color="2E5395" w:sz="6"/>
          <w:insideH w:val="none" w:color="FFFFFF" w:sz="0"/>
          <w:insideV w:val="none" w:color="FFFFFF" w:sz="0"/>
        </w:tblBorders>
      </w:tblPr>
      <w:tblGrid>
        <w:gridCol w:w="9360"/>
      </w:tblGrid>
      <w:tr>
        <w:tc>
          <w:tcPr>
            <w:tcW w:type="dxa" w:w="9360"/>
            <w:shd w:fill="DDEBF7" w:val="clear"/>
            <w:tcMar>
              <w:top w:type="dxa" w:w="140"/>
              <w:left w:type="dxa" w:w="180"/>
              <w:bottom w:type="dxa" w:w="140"/>
              <w:right w:type="dxa" w:w="180"/>
            </w:tcMar>
          </w:tcPr>
          <w:p>
            <w:r>
              <w:rPr>
                <w:b/>
                <w:bCs/>
                <w:color w:val="1F3864"/>
              </w:rPr>
              <w:t xml:space="preserve">How to Use This Document</w:t>
            </w:r>
          </w:p>
          <w:p>
            <w:pPr>
              <w:spacing w:before="60"/>
            </w:pPr>
            <w:r>
              <w:t xml:space="preserve">Some topics here (embeddings, tokens) were introduced conceptually in Lesson 2 — this lesson goes deeper into their engineering implications. Feel free to briefly recap rather than re-teach those pieces from scratch.</w:t>
            </w:r>
          </w:p>
        </w:tc>
      </w:tr>
    </w:tbl>
    <w:p>
      <w:r>
        <w:br w:type="page"/>
      </w:r>
    </w:p>
    <w:p>
      <w:pPr>
        <w:pStyle w:val="Heading1"/>
        <w:spacing w:after="160" w:before="360"/>
      </w:pPr>
      <w:r>
        <w:rPr>
          <w:b/>
          <w:bCs/>
          <w:color w:val="1F3864"/>
        </w:rPr>
        <w:t xml:space="preserve">Sub-Lesson 4.1 — APIs</w:t>
      </w:r>
    </w:p>
    <w:p>
      <w:pPr>
        <w:spacing w:after="160" w:line="300"/>
      </w:pPr>
      <w:r>
        <w:t xml:space="preserve">An API (Application Programming Interface) is how a product actually talks to an AI model — a defined way to send a request (a prompt, some data) and receive a response, without needing to know anything about what happens inside the model. For nearly every PM, the API is the boundary of what you need to understand technically: you don't need to know how the model works internally, but you do need to understand what you can send it, what it sends back, and what that costs and how fast it arrives.</w:t>
      </w:r>
    </w:p>
    <w:p>
      <w:pPr>
        <w:pStyle w:val="Heading2"/>
        <w:spacing w:after="120" w:before="280"/>
      </w:pPr>
      <w:r>
        <w:rPr>
          <w:b/>
          <w:bCs/>
          <w:color w:val="2E5395"/>
        </w:rPr>
        <w:t xml:space="preserve">What a PM Actually Needs to Know About an API</w:t>
      </w:r>
    </w:p>
    <w:p>
      <w:pPr>
        <w:pStyle w:val="ListParagraph"/>
        <w:numPr>
          <w:ilvl w:val="0"/>
          <w:numId w:val="2"/>
        </w:numPr>
        <w:spacing w:after="80"/>
      </w:pPr>
      <w:r>
        <w:t xml:space="preserve">Request/response shape — what fields go in (prompt, parameters like temperature) and what comes back (text, structured data, an error).</w:t>
      </w:r>
    </w:p>
    <w:p>
      <w:pPr>
        <w:pStyle w:val="ListParagraph"/>
        <w:numPr>
          <w:ilvl w:val="0"/>
          <w:numId w:val="2"/>
        </w:numPr>
        <w:spacing w:after="80"/>
      </w:pPr>
      <w:r>
        <w:t xml:space="preserve">Rate limits — how many requests you can make per minute, which shapes what kind of product experience is possible at scale.</w:t>
      </w:r>
    </w:p>
    <w:p>
      <w:pPr>
        <w:pStyle w:val="ListParagraph"/>
        <w:numPr>
          <w:ilvl w:val="0"/>
          <w:numId w:val="2"/>
        </w:numPr>
        <w:spacing w:after="80"/>
      </w:pPr>
      <w:r>
        <w:t xml:space="preserve">Latency — how long a typical call takes, which directly shapes UX decisions (can this be synchronous, or does it need a loading state or async design?).</w:t>
      </w:r>
    </w:p>
    <w:p>
      <w:pPr>
        <w:pStyle w:val="ListParagraph"/>
        <w:numPr>
          <w:ilvl w:val="0"/>
          <w:numId w:val="2"/>
        </w:numPr>
        <w:spacing w:after="80"/>
      </w:pPr>
      <w:r>
        <w:t xml:space="preserve">Authentication and cost — how usage is metered and billed, which connects directly to Sub-Lesson 4.9 (Token Economics).</w:t>
      </w:r>
    </w:p>
    <w:p>
      <w:pPr>
        <w:pStyle w:val="Heading1"/>
        <w:spacing w:after="160" w:before="360"/>
      </w:pPr>
      <w:r>
        <w:rPr>
          <w:b/>
          <w:bCs/>
          <w:color w:val="1F3864"/>
        </w:rPr>
        <w:t xml:space="preserve">Sub-Lesson 4.2 — AI Infrastructure</w:t>
      </w:r>
    </w:p>
    <w:p>
      <w:pPr>
        <w:spacing w:after="160" w:line="300"/>
      </w:pPr>
      <w:r>
        <w:t xml:space="preserve">AI infrastructure is the underlying compute, storage, and networking that makes running AI models possible — GPUs (and increasingly specialized AI chips), cloud platforms, and the orchestration layers connecting them. Most product teams never touch this layer directly (they call an API instead), but understanding it explains why costs and capacity behave the way they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shd w:fill="1F3864" w:val="clear"/>
            <w:tcMar>
              <w:top w:type="dxa" w:w="100"/>
              <w:left w:type="dxa" w:w="110"/>
              <w:bottom w:type="dxa" w:w="100"/>
              <w:right w:type="dxa" w:w="110"/>
            </w:tcMar>
          </w:tcPr>
          <w:p>
            <w:r>
              <w:rPr>
                <w:b/>
                <w:bCs/>
                <w:color w:val="FFFFFF"/>
                <w:sz w:val="19"/>
                <w:szCs w:val="19"/>
              </w:rPr>
              <w:t xml:space="preserve">Layer</w:t>
            </w:r>
          </w:p>
        </w:tc>
        <w:tc>
          <w:tcPr>
            <w:tcW w:type="dxa" w:w="4160"/>
            <w:shd w:fill="1F3864" w:val="clear"/>
            <w:tcMar>
              <w:top w:type="dxa" w:w="100"/>
              <w:left w:type="dxa" w:w="110"/>
              <w:bottom w:type="dxa" w:w="100"/>
              <w:right w:type="dxa" w:w="110"/>
            </w:tcMar>
          </w:tcPr>
          <w:p>
            <w:r>
              <w:rPr>
                <w:b/>
                <w:bCs/>
                <w:color w:val="FFFFFF"/>
                <w:sz w:val="19"/>
                <w:szCs w:val="19"/>
              </w:rPr>
              <w:t xml:space="preserve">What It Does</w:t>
            </w:r>
          </w:p>
        </w:tc>
        <w:tc>
          <w:tcPr>
            <w:tcW w:type="dxa" w:w="2600"/>
            <w:shd w:fill="1F3864" w:val="clear"/>
            <w:tcMar>
              <w:top w:type="dxa" w:w="100"/>
              <w:left w:type="dxa" w:w="110"/>
              <w:bottom w:type="dxa" w:w="100"/>
              <w:right w:type="dxa" w:w="110"/>
            </w:tcMar>
          </w:tcPr>
          <w:p>
            <w:r>
              <w:rPr>
                <w:b/>
                <w:bCs/>
                <w:color w:val="FFFFFF"/>
                <w:sz w:val="19"/>
                <w:szCs w:val="19"/>
              </w:rPr>
              <w:t xml:space="preserve">Who Manages It</w:t>
            </w:r>
          </w:p>
        </w:tc>
      </w:tr>
      <w:tr>
        <w:tc>
          <w:tcPr>
            <w:tcW w:type="dxa" w:w="2600"/>
            <w:shd w:fill="FFFFFF" w:val="clear"/>
            <w:tcMar>
              <w:top w:type="dxa" w:w="90"/>
              <w:left w:type="dxa" w:w="110"/>
              <w:bottom w:type="dxa" w:w="90"/>
              <w:right w:type="dxa" w:w="110"/>
            </w:tcMar>
          </w:tcPr>
          <w:p>
            <w:r>
              <w:rPr>
                <w:sz w:val="19"/>
                <w:szCs w:val="19"/>
              </w:rPr>
              <w:t xml:space="preserve">Compute (GPUs/chips)</w:t>
            </w:r>
          </w:p>
        </w:tc>
        <w:tc>
          <w:tcPr>
            <w:tcW w:type="dxa" w:w="4160"/>
            <w:shd w:fill="FFFFFF" w:val="clear"/>
            <w:tcMar>
              <w:top w:type="dxa" w:w="90"/>
              <w:left w:type="dxa" w:w="110"/>
              <w:bottom w:type="dxa" w:w="90"/>
              <w:right w:type="dxa" w:w="110"/>
            </w:tcMar>
          </w:tcPr>
          <w:p>
            <w:r>
              <w:rPr>
                <w:sz w:val="19"/>
                <w:szCs w:val="19"/>
              </w:rPr>
              <w:t xml:space="preserve">Runs the actual model computation</w:t>
            </w:r>
          </w:p>
        </w:tc>
        <w:tc>
          <w:tcPr>
            <w:tcW w:type="dxa" w:w="2600"/>
            <w:shd w:fill="FFFFFF" w:val="clear"/>
            <w:tcMar>
              <w:top w:type="dxa" w:w="90"/>
              <w:left w:type="dxa" w:w="110"/>
              <w:bottom w:type="dxa" w:w="90"/>
              <w:right w:type="dxa" w:w="110"/>
            </w:tcMar>
          </w:tcPr>
          <w:p>
            <w:r>
              <w:rPr>
                <w:sz w:val="19"/>
                <w:szCs w:val="19"/>
              </w:rPr>
              <w:t xml:space="preserve">Cloud providers or the foundation model company</w:t>
            </w:r>
          </w:p>
        </w:tc>
      </w:tr>
      <w:tr>
        <w:tc>
          <w:tcPr>
            <w:tcW w:type="dxa" w:w="2600"/>
            <w:shd w:fill="F2F2F2" w:val="clear"/>
            <w:tcMar>
              <w:top w:type="dxa" w:w="90"/>
              <w:left w:type="dxa" w:w="110"/>
              <w:bottom w:type="dxa" w:w="90"/>
              <w:right w:type="dxa" w:w="110"/>
            </w:tcMar>
          </w:tcPr>
          <w:p>
            <w:r>
              <w:rPr>
                <w:sz w:val="19"/>
                <w:szCs w:val="19"/>
              </w:rPr>
              <w:t xml:space="preserve">Model Hosting</w:t>
            </w:r>
          </w:p>
        </w:tc>
        <w:tc>
          <w:tcPr>
            <w:tcW w:type="dxa" w:w="4160"/>
            <w:shd w:fill="F2F2F2" w:val="clear"/>
            <w:tcMar>
              <w:top w:type="dxa" w:w="90"/>
              <w:left w:type="dxa" w:w="110"/>
              <w:bottom w:type="dxa" w:w="90"/>
              <w:right w:type="dxa" w:w="110"/>
            </w:tcMar>
          </w:tcPr>
          <w:p>
            <w:r>
              <w:rPr>
                <w:sz w:val="19"/>
                <w:szCs w:val="19"/>
              </w:rPr>
              <w:t xml:space="preserve">Keeps a trained model ready to respond to requests</w:t>
            </w:r>
          </w:p>
        </w:tc>
        <w:tc>
          <w:tcPr>
            <w:tcW w:type="dxa" w:w="2600"/>
            <w:shd w:fill="F2F2F2" w:val="clear"/>
            <w:tcMar>
              <w:top w:type="dxa" w:w="90"/>
              <w:left w:type="dxa" w:w="110"/>
              <w:bottom w:type="dxa" w:w="90"/>
              <w:right w:type="dxa" w:w="110"/>
            </w:tcMar>
          </w:tcPr>
          <w:p>
            <w:r>
              <w:rPr>
                <w:sz w:val="19"/>
                <w:szCs w:val="19"/>
              </w:rPr>
              <w:t xml:space="preserve">The foundation model provider (for closed models) or your own team (for self-hosted open models)</w:t>
            </w:r>
          </w:p>
        </w:tc>
      </w:tr>
      <w:tr>
        <w:tc>
          <w:tcPr>
            <w:tcW w:type="dxa" w:w="2600"/>
            <w:shd w:fill="FFFFFF" w:val="clear"/>
            <w:tcMar>
              <w:top w:type="dxa" w:w="90"/>
              <w:left w:type="dxa" w:w="110"/>
              <w:bottom w:type="dxa" w:w="90"/>
              <w:right w:type="dxa" w:w="110"/>
            </w:tcMar>
          </w:tcPr>
          <w:p>
            <w:r>
              <w:rPr>
                <w:sz w:val="19"/>
                <w:szCs w:val="19"/>
              </w:rPr>
              <w:t xml:space="preserve">Orchestration</w:t>
            </w:r>
          </w:p>
        </w:tc>
        <w:tc>
          <w:tcPr>
            <w:tcW w:type="dxa" w:w="4160"/>
            <w:shd w:fill="FFFFFF" w:val="clear"/>
            <w:tcMar>
              <w:top w:type="dxa" w:w="90"/>
              <w:left w:type="dxa" w:w="110"/>
              <w:bottom w:type="dxa" w:w="90"/>
              <w:right w:type="dxa" w:w="110"/>
            </w:tcMar>
          </w:tcPr>
          <w:p>
            <w:r>
              <w:rPr>
                <w:sz w:val="19"/>
                <w:szCs w:val="19"/>
              </w:rPr>
              <w:t xml:space="preserve">Manages scaling, load balancing, and routing requests</w:t>
            </w:r>
          </w:p>
        </w:tc>
        <w:tc>
          <w:tcPr>
            <w:tcW w:type="dxa" w:w="2600"/>
            <w:shd w:fill="FFFFFF" w:val="clear"/>
            <w:tcMar>
              <w:top w:type="dxa" w:w="90"/>
              <w:left w:type="dxa" w:w="110"/>
              <w:bottom w:type="dxa" w:w="90"/>
              <w:right w:type="dxa" w:w="110"/>
            </w:tcMar>
          </w:tcPr>
          <w:p>
            <w:r>
              <w:rPr>
                <w:sz w:val="19"/>
                <w:szCs w:val="19"/>
              </w:rPr>
              <w:t xml:space="preserve">Cloud platform tooling or specialized inference platforms</w:t>
            </w:r>
          </w:p>
        </w:tc>
      </w:tr>
    </w:tbl>
    <w:tbl>
      <w:tblPr>
        <w:tblW w:type="dxa" w:w="9360"/>
        <w:tblBorders>
          <w:top w:val="single" w:color="2E5395" w:sz="6"/>
          <w:left w:val="single" w:color="2E5395" w:sz="6"/>
          <w:bottom w:val="single" w:color="2E5395" w:sz="6"/>
          <w:right w:val="single" w:color="2E5395" w:sz="6"/>
          <w:insideH w:val="none" w:color="FFFFFF" w:sz="0"/>
          <w:insideV w:val="none" w:color="FFFFFF" w:sz="0"/>
        </w:tblBorders>
      </w:tblPr>
      <w:tblGrid>
        <w:gridCol w:w="9360"/>
      </w:tblGrid>
      <w:tr>
        <w:tc>
          <w:tcPr>
            <w:tcW w:type="dxa" w:w="9360"/>
            <w:shd w:fill="DDEBF7" w:val="clear"/>
            <w:tcMar>
              <w:top w:type="dxa" w:w="140"/>
              <w:left w:type="dxa" w:w="180"/>
              <w:bottom w:type="dxa" w:w="140"/>
              <w:right w:type="dxa" w:w="180"/>
            </w:tcMar>
          </w:tcPr>
          <w:p>
            <w:r>
              <w:rPr>
                <w:b/>
                <w:bCs/>
                <w:color w:val="1F3864"/>
              </w:rPr>
              <w:t xml:space="preserve">Teaching Note</w:t>
            </w:r>
          </w:p>
          <w:p>
            <w:pPr>
              <w:spacing w:before="60"/>
            </w:pPr>
            <w:r>
              <w:t xml:space="preserve">This is a good moment to introduce the Uber case study (see Case Studies document) — a real, dramatic 2026 example of what happens when infrastructure/token consumption scales faster than anyone budgeted for, even when the underlying rollout was working exactly as intended.</w:t>
            </w:r>
          </w:p>
        </w:tc>
      </w:tr>
    </w:tbl>
    <w:p>
      <w:pPr>
        <w:pStyle w:val="Heading1"/>
        <w:spacing w:after="160" w:before="360"/>
      </w:pPr>
      <w:r>
        <w:rPr>
          <w:b/>
          <w:bCs/>
          <w:color w:val="1F3864"/>
        </w:rPr>
        <w:t xml:space="preserve">Sub-Lesson 4.3 — RAG (Retrieval-Augmented Generation)</w:t>
      </w:r>
    </w:p>
    <w:p>
      <w:pPr>
        <w:spacing w:after="160" w:line="300"/>
      </w:pPr>
      <w:r>
        <w:t xml:space="preserve">RAG is an architecture pattern where a system retrieves relevant information from an external knowledge source before generating a response, rather than relying solely on what the model memorized during training. This is the single most common way enterprises ground AI features in their own real, current data.</w:t>
      </w:r>
    </w:p>
    <w:p>
      <w:pPr>
        <w:pStyle w:val="Heading2"/>
        <w:spacing w:after="120" w:before="280"/>
      </w:pPr>
      <w:r>
        <w:rPr>
          <w:b/>
          <w:bCs/>
          <w:color w:val="2E5395"/>
        </w:rPr>
        <w:t xml:space="preserve">The RAG Pipeline, Step by Step</w:t>
      </w:r>
    </w:p>
    <w:p>
      <w:pPr>
        <w:pStyle w:val="ListParagraph"/>
        <w:numPr>
          <w:ilvl w:val="0"/>
          <w:numId w:val="2"/>
        </w:numPr>
        <w:spacing w:after="80"/>
      </w:pPr>
      <w:r>
        <w:t xml:space="preserve">1. Chunk — break source documents into manageable pieces (paragraphs, sections).</w:t>
      </w:r>
    </w:p>
    <w:p>
      <w:pPr>
        <w:pStyle w:val="ListParagraph"/>
        <w:numPr>
          <w:ilvl w:val="0"/>
          <w:numId w:val="2"/>
        </w:numPr>
        <w:spacing w:after="80"/>
      </w:pPr>
      <w:r>
        <w:t xml:space="preserve">2. Embed — convert each chunk into a vector representation (Sub-Lesson 4.5).</w:t>
      </w:r>
    </w:p>
    <w:p>
      <w:pPr>
        <w:pStyle w:val="ListParagraph"/>
        <w:numPr>
          <w:ilvl w:val="0"/>
          <w:numId w:val="2"/>
        </w:numPr>
        <w:spacing w:after="80"/>
      </w:pPr>
      <w:r>
        <w:t xml:space="preserve">3. Store — save those vectors in a vector database (Sub-Lesson 4.4) for fast lookup.</w:t>
      </w:r>
    </w:p>
    <w:p>
      <w:pPr>
        <w:pStyle w:val="ListParagraph"/>
        <w:numPr>
          <w:ilvl w:val="0"/>
          <w:numId w:val="2"/>
        </w:numPr>
        <w:spacing w:after="80"/>
      </w:pPr>
      <w:r>
        <w:t xml:space="preserve">4. Retrieve — when a query comes in, find the most relevant stored chunks.</w:t>
      </w:r>
    </w:p>
    <w:p>
      <w:pPr>
        <w:pStyle w:val="ListParagraph"/>
        <w:numPr>
          <w:ilvl w:val="0"/>
          <w:numId w:val="2"/>
        </w:numPr>
        <w:spacing w:after="80"/>
      </w:pPr>
      <w:r>
        <w:t xml:space="preserve">5. Generate — hand the retrieved chunks plus the query to the model to produce a grounded answer.</w:t>
      </w:r>
    </w:p>
    <w:p>
      <w:pPr>
        <w:spacing w:after="160" w:line="300"/>
      </w:pPr>
      <w:r>
        <w:t xml:space="preserve">Each of these five steps is a real engineering decision with trade-offs — chunk size affects retrieval precision, embedding model choice affects retrieval quality, and vector database choice affects cost and scale.</w:t>
      </w:r>
    </w:p>
    <w:p>
      <w:pPr>
        <w:pStyle w:val="Heading1"/>
        <w:spacing w:after="160" w:before="360"/>
      </w:pPr>
      <w:r>
        <w:rPr>
          <w:b/>
          <w:bCs/>
          <w:color w:val="1F3864"/>
        </w:rPr>
        <w:t xml:space="preserve">Sub-Lesson 4.4 — Vector Databases</w:t>
      </w:r>
    </w:p>
    <w:p>
      <w:pPr>
        <w:spacing w:after="160" w:line="300"/>
      </w:pPr>
      <w:r>
        <w:t xml:space="preserve">A vector database stores embeddings (Sub-Lesson 4.5) and is optimized to quickly find the ones most similar to a given query — the retrieval engine underneath a RAG system. Choosing one is a real architecture decision, not an afterthought.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shd w:fill="1F3864" w:val="clear"/>
            <w:tcMar>
              <w:top w:type="dxa" w:w="100"/>
              <w:left w:type="dxa" w:w="110"/>
              <w:bottom w:type="dxa" w:w="100"/>
              <w:right w:type="dxa" w:w="110"/>
            </w:tcMar>
          </w:tcPr>
          <w:p>
            <w:r>
              <w:rPr>
                <w:b/>
                <w:bCs/>
                <w:color w:val="FFFFFF"/>
                <w:sz w:val="19"/>
                <w:szCs w:val="19"/>
              </w:rPr>
              <w:t xml:space="preserve">Option</w:t>
            </w:r>
          </w:p>
        </w:tc>
        <w:tc>
          <w:tcPr>
            <w:tcW w:type="dxa" w:w="3760"/>
            <w:shd w:fill="1F3864" w:val="clear"/>
            <w:tcMar>
              <w:top w:type="dxa" w:w="100"/>
              <w:left w:type="dxa" w:w="110"/>
              <w:bottom w:type="dxa" w:w="100"/>
              <w:right w:type="dxa" w:w="110"/>
            </w:tcMar>
          </w:tcPr>
          <w:p>
            <w:r>
              <w:rPr>
                <w:b/>
                <w:bCs/>
                <w:color w:val="FFFFFF"/>
                <w:sz w:val="19"/>
                <w:szCs w:val="19"/>
              </w:rPr>
              <w:t xml:space="preserve">Best For</w:t>
            </w:r>
          </w:p>
        </w:tc>
        <w:tc>
          <w:tcPr>
            <w:tcW w:type="dxa" w:w="3200"/>
            <w:shd w:fill="1F3864" w:val="clear"/>
            <w:tcMar>
              <w:top w:type="dxa" w:w="100"/>
              <w:left w:type="dxa" w:w="110"/>
              <w:bottom w:type="dxa" w:w="100"/>
              <w:right w:type="dxa" w:w="110"/>
            </w:tcMar>
          </w:tcPr>
          <w:p>
            <w:r>
              <w:rPr>
                <w:b/>
                <w:bCs/>
                <w:color w:val="FFFFFF"/>
                <w:sz w:val="19"/>
                <w:szCs w:val="19"/>
              </w:rPr>
              <w:t xml:space="preserve">Trade-off</w:t>
            </w:r>
          </w:p>
        </w:tc>
      </w:tr>
      <w:tr>
        <w:tc>
          <w:tcPr>
            <w:tcW w:type="dxa" w:w="2400"/>
            <w:shd w:fill="FFFFFF" w:val="clear"/>
            <w:tcMar>
              <w:top w:type="dxa" w:w="90"/>
              <w:left w:type="dxa" w:w="110"/>
              <w:bottom w:type="dxa" w:w="90"/>
              <w:right w:type="dxa" w:w="110"/>
            </w:tcMar>
          </w:tcPr>
          <w:p>
            <w:r>
              <w:rPr>
                <w:sz w:val="19"/>
                <w:szCs w:val="19"/>
              </w:rPr>
              <w:t xml:space="preserve">pgvector (on Postgres)</w:t>
            </w:r>
          </w:p>
        </w:tc>
        <w:tc>
          <w:tcPr>
            <w:tcW w:type="dxa" w:w="3760"/>
            <w:shd w:fill="FFFFFF" w:val="clear"/>
            <w:tcMar>
              <w:top w:type="dxa" w:w="90"/>
              <w:left w:type="dxa" w:w="110"/>
              <w:bottom w:type="dxa" w:w="90"/>
              <w:right w:type="dxa" w:w="110"/>
            </w:tcMar>
          </w:tcPr>
          <w:p>
            <w:r>
              <w:rPr>
                <w:sz w:val="19"/>
                <w:szCs w:val="19"/>
              </w:rPr>
              <w:t xml:space="preserve">Teams already using Postgres, under ~50 million vectors</w:t>
            </w:r>
          </w:p>
        </w:tc>
        <w:tc>
          <w:tcPr>
            <w:tcW w:type="dxa" w:w="3200"/>
            <w:shd w:fill="FFFFFF" w:val="clear"/>
            <w:tcMar>
              <w:top w:type="dxa" w:w="90"/>
              <w:left w:type="dxa" w:w="110"/>
              <w:bottom w:type="dxa" w:w="90"/>
              <w:right w:type="dxa" w:w="110"/>
            </w:tcMar>
          </w:tcPr>
          <w:p>
            <w:r>
              <w:rPr>
                <w:sz w:val="19"/>
                <w:szCs w:val="19"/>
              </w:rPr>
              <w:t xml:space="preserve">Simpler ops, but requires tuning at very large scale</w:t>
            </w:r>
          </w:p>
        </w:tc>
      </w:tr>
      <w:tr>
        <w:tc>
          <w:tcPr>
            <w:tcW w:type="dxa" w:w="2400"/>
            <w:shd w:fill="F2F2F2" w:val="clear"/>
            <w:tcMar>
              <w:top w:type="dxa" w:w="90"/>
              <w:left w:type="dxa" w:w="110"/>
              <w:bottom w:type="dxa" w:w="90"/>
              <w:right w:type="dxa" w:w="110"/>
            </w:tcMar>
          </w:tcPr>
          <w:p>
            <w:r>
              <w:rPr>
                <w:sz w:val="19"/>
                <w:szCs w:val="19"/>
              </w:rPr>
              <w:t xml:space="preserve">Pinecone</w:t>
            </w:r>
          </w:p>
        </w:tc>
        <w:tc>
          <w:tcPr>
            <w:tcW w:type="dxa" w:w="3760"/>
            <w:shd w:fill="F2F2F2" w:val="clear"/>
            <w:tcMar>
              <w:top w:type="dxa" w:w="90"/>
              <w:left w:type="dxa" w:w="110"/>
              <w:bottom w:type="dxa" w:w="90"/>
              <w:right w:type="dxa" w:w="110"/>
            </w:tcMar>
          </w:tcPr>
          <w:p>
            <w:r>
              <w:rPr>
                <w:sz w:val="19"/>
                <w:szCs w:val="19"/>
              </w:rPr>
              <w:t xml:space="preserve">Fully managed, enterprise scale, minimal ops burden</w:t>
            </w:r>
          </w:p>
        </w:tc>
        <w:tc>
          <w:tcPr>
            <w:tcW w:type="dxa" w:w="3200"/>
            <w:shd w:fill="F2F2F2" w:val="clear"/>
            <w:tcMar>
              <w:top w:type="dxa" w:w="90"/>
              <w:left w:type="dxa" w:w="110"/>
              <w:bottom w:type="dxa" w:w="90"/>
              <w:right w:type="dxa" w:w="110"/>
            </w:tcMar>
          </w:tcPr>
          <w:p>
            <w:r>
              <w:rPr>
                <w:sz w:val="19"/>
                <w:szCs w:val="19"/>
              </w:rPr>
              <w:t xml:space="preserve">Highest cost; some vendor lock-in</w:t>
            </w:r>
          </w:p>
        </w:tc>
      </w:tr>
      <w:tr>
        <w:tc>
          <w:tcPr>
            <w:tcW w:type="dxa" w:w="2400"/>
            <w:shd w:fill="FFFFFF" w:val="clear"/>
            <w:tcMar>
              <w:top w:type="dxa" w:w="90"/>
              <w:left w:type="dxa" w:w="110"/>
              <w:bottom w:type="dxa" w:w="90"/>
              <w:right w:type="dxa" w:w="110"/>
            </w:tcMar>
          </w:tcPr>
          <w:p>
            <w:r>
              <w:rPr>
                <w:sz w:val="19"/>
                <w:szCs w:val="19"/>
              </w:rPr>
              <w:t xml:space="preserve">Weaviate</w:t>
            </w:r>
          </w:p>
        </w:tc>
        <w:tc>
          <w:tcPr>
            <w:tcW w:type="dxa" w:w="3760"/>
            <w:shd w:fill="FFFFFF" w:val="clear"/>
            <w:tcMar>
              <w:top w:type="dxa" w:w="90"/>
              <w:left w:type="dxa" w:w="110"/>
              <w:bottom w:type="dxa" w:w="90"/>
              <w:right w:type="dxa" w:w="110"/>
            </w:tcMar>
          </w:tcPr>
          <w:p>
            <w:r>
              <w:rPr>
                <w:sz w:val="19"/>
                <w:szCs w:val="19"/>
              </w:rPr>
              <w:t xml:space="preserve">Open-source, native hybrid (keyword + semantic) search, multi-tenant SaaS</w:t>
            </w:r>
          </w:p>
        </w:tc>
        <w:tc>
          <w:tcPr>
            <w:tcW w:type="dxa" w:w="3200"/>
            <w:shd w:fill="FFFFFF" w:val="clear"/>
            <w:tcMar>
              <w:top w:type="dxa" w:w="90"/>
              <w:left w:type="dxa" w:w="110"/>
              <w:bottom w:type="dxa" w:w="90"/>
              <w:right w:type="dxa" w:w="110"/>
            </w:tcMar>
          </w:tcPr>
          <w:p>
            <w:r>
              <w:rPr>
                <w:sz w:val="19"/>
                <w:szCs w:val="19"/>
              </w:rPr>
              <w:t xml:space="preserve">More operational complexity if self-hosted</w:t>
            </w:r>
          </w:p>
        </w:tc>
      </w:tr>
      <w:tr>
        <w:tc>
          <w:tcPr>
            <w:tcW w:type="dxa" w:w="2400"/>
            <w:shd w:fill="F2F2F2" w:val="clear"/>
            <w:tcMar>
              <w:top w:type="dxa" w:w="90"/>
              <w:left w:type="dxa" w:w="110"/>
              <w:bottom w:type="dxa" w:w="90"/>
              <w:right w:type="dxa" w:w="110"/>
            </w:tcMar>
          </w:tcPr>
          <w:p>
            <w:r>
              <w:rPr>
                <w:sz w:val="19"/>
                <w:szCs w:val="19"/>
              </w:rPr>
              <w:t xml:space="preserve">Milvus / Qdrant</w:t>
            </w:r>
          </w:p>
        </w:tc>
        <w:tc>
          <w:tcPr>
            <w:tcW w:type="dxa" w:w="3760"/>
            <w:shd w:fill="F2F2F2" w:val="clear"/>
            <w:tcMar>
              <w:top w:type="dxa" w:w="90"/>
              <w:left w:type="dxa" w:w="110"/>
              <w:bottom w:type="dxa" w:w="90"/>
              <w:right w:type="dxa" w:w="110"/>
            </w:tcMar>
          </w:tcPr>
          <w:p>
            <w:r>
              <w:rPr>
                <w:sz w:val="19"/>
                <w:szCs w:val="19"/>
              </w:rPr>
              <w:t xml:space="preserve">Very large scale (100M+ vectors) or heavy metadata filtering</w:t>
            </w:r>
          </w:p>
        </w:tc>
        <w:tc>
          <w:tcPr>
            <w:tcW w:type="dxa" w:w="3200"/>
            <w:shd w:fill="F2F2F2" w:val="clear"/>
            <w:tcMar>
              <w:top w:type="dxa" w:w="90"/>
              <w:left w:type="dxa" w:w="110"/>
              <w:bottom w:type="dxa" w:w="90"/>
              <w:right w:type="dxa" w:w="110"/>
            </w:tcMar>
          </w:tcPr>
          <w:p>
            <w:r>
              <w:rPr>
                <w:sz w:val="19"/>
                <w:szCs w:val="19"/>
              </w:rPr>
              <w:t xml:space="preserve">More resource-intensive or ops-heavy to run well</w:t>
            </w:r>
          </w:p>
        </w:tc>
      </w:tr>
    </w:tbl>
    <w:p>
      <w:pPr>
        <w:spacing w:after="160" w:line="300"/>
      </w:pPr>
      <w:r>
        <w:t xml:space="preserve">A common real-world trap: teams pick the easiest option to start with, then discover at real scale (tens of millions of vectors) that switching vector databases later is expensive — migrating data between vector stores can trigger significant cloud data-transfer (egress) costs on top of the migration effort itself.</w:t>
      </w:r>
    </w:p>
    <w:p>
      <w:pPr>
        <w:pStyle w:val="Heading1"/>
        <w:spacing w:after="160" w:before="360"/>
      </w:pPr>
      <w:r>
        <w:rPr>
          <w:b/>
          <w:bCs/>
          <w:color w:val="1F3864"/>
        </w:rPr>
        <w:t xml:space="preserve">Sub-Lesson 4.5 — Embeddings (Engineering View)</w:t>
      </w:r>
    </w:p>
    <w:p>
      <w:pPr>
        <w:spacing w:after="160" w:line="300"/>
      </w:pPr>
      <w:r>
        <w:t xml:space="preserve">Lesson 2 introduced embeddings conceptually — numerical representations that capture meaning. From an engineering standpoint, a few additional decisions matter directly for architecture:</w:t>
      </w:r>
    </w:p>
    <w:p>
      <w:pPr>
        <w:pStyle w:val="ListParagraph"/>
        <w:numPr>
          <w:ilvl w:val="0"/>
          <w:numId w:val="2"/>
        </w:numPr>
        <w:spacing w:after="80"/>
      </w:pPr>
      <w:r>
        <w:t xml:space="preserve">Dimension count — embeddings with more dimensions capture more nuance but cost more to store and search; there's a real trade-off, not just "more is better."</w:t>
      </w:r>
    </w:p>
    <w:p>
      <w:pPr>
        <w:pStyle w:val="ListParagraph"/>
        <w:numPr>
          <w:ilvl w:val="0"/>
          <w:numId w:val="2"/>
        </w:numPr>
        <w:spacing w:after="80"/>
      </w:pPr>
      <w:r>
        <w:t xml:space="preserve">Chunking strategy — smaller chunks (a few hundred tokens) improve precision for specific factual queries; larger chunks provide more context for complex reasoning. Many production systems use both: a small chunk for retrieval matching, paired with a larger surrounding "parent" chunk actually handed to the model.</w:t>
      </w:r>
    </w:p>
    <w:p>
      <w:pPr>
        <w:pStyle w:val="ListParagraph"/>
        <w:numPr>
          <w:ilvl w:val="0"/>
          <w:numId w:val="2"/>
        </w:numPr>
        <w:spacing w:after="80"/>
      </w:pPr>
      <w:r>
        <w:t xml:space="preserve">Embedding model choice — a separate decision from your main generative model choice; some teams use one provider's embedding model with a completely different provider's generative model.</w:t>
      </w:r>
    </w:p>
    <w:p>
      <w:pPr>
        <w:pStyle w:val="Heading1"/>
        <w:spacing w:after="160" w:before="360"/>
      </w:pPr>
      <w:r>
        <w:rPr>
          <w:b/>
          <w:bCs/>
          <w:color w:val="1F3864"/>
        </w:rPr>
        <w:t xml:space="preserve">Sub-Lesson 4.6 — Fine-Tuning</w:t>
      </w:r>
    </w:p>
    <w:p>
      <w:pPr>
        <w:spacing w:after="160" w:line="300"/>
      </w:pPr>
      <w:r>
        <w:t xml:space="preserve">Fine-tuning further trains a pre-trained model's weights on your own specific data, permanently changing how it behaves — as opposed to RAG, which leaves the model unchanged and instead supplies it with relevant information at query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1F3864" w:val="clear"/>
            <w:tcMar>
              <w:top w:type="dxa" w:w="100"/>
              <w:left w:type="dxa" w:w="110"/>
              <w:bottom w:type="dxa" w:w="100"/>
              <w:right w:type="dxa" w:w="110"/>
            </w:tcMar>
          </w:tcPr>
          <w:p>
            <w:r>
              <w:rPr>
                <w:b/>
                <w:bCs/>
                <w:color w:val="FFFFFF"/>
                <w:sz w:val="19"/>
                <w:szCs w:val="19"/>
              </w:rPr>
              <w:t xml:space="preserve">Question</w:t>
            </w:r>
          </w:p>
        </w:tc>
        <w:tc>
          <w:tcPr>
            <w:tcW w:type="dxa" w:w="3200"/>
            <w:shd w:fill="1F3864" w:val="clear"/>
            <w:tcMar>
              <w:top w:type="dxa" w:w="100"/>
              <w:left w:type="dxa" w:w="110"/>
              <w:bottom w:type="dxa" w:w="100"/>
              <w:right w:type="dxa" w:w="110"/>
            </w:tcMar>
          </w:tcPr>
          <w:p>
            <w:r>
              <w:rPr>
                <w:b/>
                <w:bCs/>
                <w:color w:val="FFFFFF"/>
                <w:sz w:val="19"/>
                <w:szCs w:val="19"/>
              </w:rPr>
              <w:t xml:space="preserve">Favors RAG</w:t>
            </w:r>
          </w:p>
        </w:tc>
        <w:tc>
          <w:tcPr>
            <w:tcW w:type="dxa" w:w="3160"/>
            <w:shd w:fill="1F3864" w:val="clear"/>
            <w:tcMar>
              <w:top w:type="dxa" w:w="100"/>
              <w:left w:type="dxa" w:w="110"/>
              <w:bottom w:type="dxa" w:w="100"/>
              <w:right w:type="dxa" w:w="110"/>
            </w:tcMar>
          </w:tcPr>
          <w:p>
            <w:r>
              <w:rPr>
                <w:b/>
                <w:bCs/>
                <w:color w:val="FFFFFF"/>
                <w:sz w:val="19"/>
                <w:szCs w:val="19"/>
              </w:rPr>
              <w:t xml:space="preserve">Favors Fine-Tuning</w:t>
            </w:r>
          </w:p>
        </w:tc>
      </w:tr>
      <w:tr>
        <w:tc>
          <w:tcPr>
            <w:tcW w:type="dxa" w:w="3000"/>
            <w:shd w:fill="FFFFFF" w:val="clear"/>
            <w:tcMar>
              <w:top w:type="dxa" w:w="90"/>
              <w:left w:type="dxa" w:w="110"/>
              <w:bottom w:type="dxa" w:w="90"/>
              <w:right w:type="dxa" w:w="110"/>
            </w:tcMar>
          </w:tcPr>
          <w:p>
            <w:r>
              <w:rPr>
                <w:sz w:val="19"/>
                <w:szCs w:val="19"/>
              </w:rPr>
              <w:t xml:space="preserve">Does the underlying knowledge change often?</w:t>
            </w:r>
          </w:p>
        </w:tc>
        <w:tc>
          <w:tcPr>
            <w:tcW w:type="dxa" w:w="3200"/>
            <w:shd w:fill="FFFFFF" w:val="clear"/>
            <w:tcMar>
              <w:top w:type="dxa" w:w="90"/>
              <w:left w:type="dxa" w:w="110"/>
              <w:bottom w:type="dxa" w:w="90"/>
              <w:right w:type="dxa" w:w="110"/>
            </w:tcMar>
          </w:tcPr>
          <w:p>
            <w:r>
              <w:rPr>
                <w:sz w:val="19"/>
                <w:szCs w:val="19"/>
              </w:rPr>
              <w:t xml:space="preserve">Yes — RAG updates instantly by re-indexing</w:t>
            </w:r>
          </w:p>
        </w:tc>
        <w:tc>
          <w:tcPr>
            <w:tcW w:type="dxa" w:w="3160"/>
            <w:shd w:fill="FFFFFF" w:val="clear"/>
            <w:tcMar>
              <w:top w:type="dxa" w:w="90"/>
              <w:left w:type="dxa" w:w="110"/>
              <w:bottom w:type="dxa" w:w="90"/>
              <w:right w:type="dxa" w:w="110"/>
            </w:tcMar>
          </w:tcPr>
          <w:p>
            <w:r>
              <w:rPr>
                <w:sz w:val="19"/>
                <w:szCs w:val="19"/>
              </w:rPr>
              <w:t xml:space="preserve">No — fine-tuning requires a full retraining cycle to update</w:t>
            </w:r>
          </w:p>
        </w:tc>
      </w:tr>
      <w:tr>
        <w:tc>
          <w:tcPr>
            <w:tcW w:type="dxa" w:w="3000"/>
            <w:shd w:fill="F2F2F2" w:val="clear"/>
            <w:tcMar>
              <w:top w:type="dxa" w:w="90"/>
              <w:left w:type="dxa" w:w="110"/>
              <w:bottom w:type="dxa" w:w="90"/>
              <w:right w:type="dxa" w:w="110"/>
            </w:tcMar>
          </w:tcPr>
          <w:p>
            <w:r>
              <w:rPr>
                <w:sz w:val="19"/>
                <w:szCs w:val="19"/>
              </w:rPr>
              <w:t xml:space="preserve">Do you need source citations?</w:t>
            </w:r>
          </w:p>
        </w:tc>
        <w:tc>
          <w:tcPr>
            <w:tcW w:type="dxa" w:w="3200"/>
            <w:shd w:fill="F2F2F2" w:val="clear"/>
            <w:tcMar>
              <w:top w:type="dxa" w:w="90"/>
              <w:left w:type="dxa" w:w="110"/>
              <w:bottom w:type="dxa" w:w="90"/>
              <w:right w:type="dxa" w:w="110"/>
            </w:tcMar>
          </w:tcPr>
          <w:p>
            <w:r>
              <w:rPr>
                <w:sz w:val="19"/>
                <w:szCs w:val="19"/>
              </w:rPr>
              <w:t xml:space="preserve">Yes — RAG can point to the retrieved document</w:t>
            </w:r>
          </w:p>
        </w:tc>
        <w:tc>
          <w:tcPr>
            <w:tcW w:type="dxa" w:w="3160"/>
            <w:shd w:fill="F2F2F2" w:val="clear"/>
            <w:tcMar>
              <w:top w:type="dxa" w:w="90"/>
              <w:left w:type="dxa" w:w="110"/>
              <w:bottom w:type="dxa" w:w="90"/>
              <w:right w:type="dxa" w:w="110"/>
            </w:tcMar>
          </w:tcPr>
          <w:p>
            <w:r>
              <w:rPr>
                <w:sz w:val="19"/>
                <w:szCs w:val="19"/>
              </w:rPr>
              <w:t xml:space="preserve">No — a fine-tuned model can't cite where it "learned" something</w:t>
            </w:r>
          </w:p>
        </w:tc>
      </w:tr>
      <w:tr>
        <w:tc>
          <w:tcPr>
            <w:tcW w:type="dxa" w:w="3000"/>
            <w:shd w:fill="FFFFFF" w:val="clear"/>
            <w:tcMar>
              <w:top w:type="dxa" w:w="90"/>
              <w:left w:type="dxa" w:w="110"/>
              <w:bottom w:type="dxa" w:w="90"/>
              <w:right w:type="dxa" w:w="110"/>
            </w:tcMar>
          </w:tcPr>
          <w:p>
            <w:r>
              <w:rPr>
                <w:sz w:val="19"/>
                <w:szCs w:val="19"/>
              </w:rPr>
              <w:t xml:space="preserve">Is the issue what the model knows, or how it behaves?</w:t>
            </w:r>
          </w:p>
        </w:tc>
        <w:tc>
          <w:tcPr>
            <w:tcW w:type="dxa" w:w="3200"/>
            <w:shd w:fill="FFFFFF" w:val="clear"/>
            <w:tcMar>
              <w:top w:type="dxa" w:w="90"/>
              <w:left w:type="dxa" w:w="110"/>
              <w:bottom w:type="dxa" w:w="90"/>
              <w:right w:type="dxa" w:w="110"/>
            </w:tcMar>
          </w:tcPr>
          <w:p>
            <w:r>
              <w:rPr>
                <w:sz w:val="19"/>
                <w:szCs w:val="19"/>
              </w:rPr>
              <w:t xml:space="preserve">What it knows</w:t>
            </w:r>
          </w:p>
        </w:tc>
        <w:tc>
          <w:tcPr>
            <w:tcW w:type="dxa" w:w="3160"/>
            <w:shd w:fill="FFFFFF" w:val="clear"/>
            <w:tcMar>
              <w:top w:type="dxa" w:w="90"/>
              <w:left w:type="dxa" w:w="110"/>
              <w:bottom w:type="dxa" w:w="90"/>
              <w:right w:type="dxa" w:w="110"/>
            </w:tcMar>
          </w:tcPr>
          <w:p>
            <w:r>
              <w:rPr>
                <w:sz w:val="19"/>
                <w:szCs w:val="19"/>
              </w:rPr>
              <w:t xml:space="preserve">How it behaves (tone, format, task pattern)</w:t>
            </w:r>
          </w:p>
        </w:tc>
      </w:tr>
    </w:tbl>
    <w:p>
      <w:pPr>
        <w:spacing w:after="160" w:line="300"/>
      </w:pPr>
      <w:r>
        <w:t xml:space="preserve">A widely repeated practitioner heuristic: if you need the model to know something, use RAG; if you need it to behave differently, use fine-tuning. Most production systems that use fine-tuning at all combine it with RAG rather than choosing one exclusively.</w:t>
      </w:r>
    </w:p>
    <w:tbl>
      <w:tblPr>
        <w:tblW w:type="dxa" w:w="9360"/>
        <w:tblBorders>
          <w:top w:val="single" w:color="2E5395" w:sz="6"/>
          <w:left w:val="single" w:color="2E5395" w:sz="6"/>
          <w:bottom w:val="single" w:color="2E5395" w:sz="6"/>
          <w:right w:val="single" w:color="2E5395" w:sz="6"/>
          <w:insideH w:val="none" w:color="FFFFFF" w:sz="0"/>
          <w:insideV w:val="none" w:color="FFFFFF" w:sz="0"/>
        </w:tblBorders>
      </w:tblPr>
      <w:tblGrid>
        <w:gridCol w:w="9360"/>
      </w:tblGrid>
      <w:tr>
        <w:tc>
          <w:tcPr>
            <w:tcW w:type="dxa" w:w="9360"/>
            <w:shd w:fill="DDEBF7" w:val="clear"/>
            <w:tcMar>
              <w:top w:type="dxa" w:w="140"/>
              <w:left w:type="dxa" w:w="180"/>
              <w:bottom w:type="dxa" w:w="140"/>
              <w:right w:type="dxa" w:w="180"/>
            </w:tcMar>
          </w:tcPr>
          <w:p>
            <w:r>
              <w:rPr>
                <w:b/>
                <w:bCs/>
                <w:color w:val="1F3864"/>
              </w:rPr>
              <w:t xml:space="preserve">Teaching Note</w:t>
            </w:r>
          </w:p>
          <w:p>
            <w:pPr>
              <w:spacing w:before="60"/>
            </w:pPr>
            <w:r>
              <w:t xml:space="preserve">This is the moment for the BloombergGPT case study (see Case Studies document) — a real, well-documented, and genuinely nuanced example of the costs and risks of training or fine-tuning a large model from scratch when a general model plus good retrieval might have gotten most of the way there.</w:t>
            </w:r>
          </w:p>
        </w:tc>
      </w:tr>
    </w:tbl>
    <w:p>
      <w:pPr>
        <w:pStyle w:val="Heading1"/>
        <w:spacing w:after="160" w:before="360"/>
      </w:pPr>
      <w:r>
        <w:rPr>
          <w:b/>
          <w:bCs/>
          <w:color w:val="1F3864"/>
        </w:rPr>
        <w:t xml:space="preserve">Sub-Lesson 4.7 — AI Pipelines</w:t>
      </w:r>
    </w:p>
    <w:p>
      <w:pPr>
        <w:spacing w:after="160" w:line="300"/>
      </w:pPr>
      <w:r>
        <w:t xml:space="preserve">An AI pipeline is the full sequence of steps data moves through in a production AI feature — well beyond just "call the model." A realistic pipeline for a customer support AI feature might include: ingest the incoming message, check for PII or content policy issues, retrieve relevant context (RAG), call the model, validate the output format, log the interaction, and route to a human if confidence is low.</w:t>
      </w:r>
    </w:p>
    <w:p>
      <w:pPr>
        <w:spacing w:after="160" w:line="300"/>
      </w:pPr>
      <w:r>
        <w:t xml:space="preserve">The product implication: every stage in this pipeline is a place where something can fail, add latency, or add cost — and a good architecture proposal accounts for the whole pipeline, not just the model call in the middle.</w:t>
      </w:r>
    </w:p>
    <w:p>
      <w:pPr>
        <w:pStyle w:val="Heading1"/>
        <w:spacing w:after="160" w:before="360"/>
      </w:pPr>
      <w:r>
        <w:rPr>
          <w:b/>
          <w:bCs/>
          <w:color w:val="1F3864"/>
        </w:rPr>
        <w:t xml:space="preserve">Sub-Lesson 4.8 — Model Serving</w:t>
      </w:r>
    </w:p>
    <w:p>
      <w:pPr>
        <w:spacing w:after="160" w:line="300"/>
      </w:pPr>
      <w:r>
        <w:t xml:space="preserve">Model serving is how a trained model is actually made available to handle real, live requests — the operational layer between "we have a model" and "users can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shd w:fill="1F3864" w:val="clear"/>
            <w:tcMar>
              <w:top w:type="dxa" w:w="100"/>
              <w:left w:type="dxa" w:w="110"/>
              <w:bottom w:type="dxa" w:w="100"/>
              <w:right w:type="dxa" w:w="110"/>
            </w:tcMar>
          </w:tcPr>
          <w:p>
            <w:r>
              <w:rPr>
                <w:b/>
                <w:bCs/>
                <w:color w:val="FFFFFF"/>
                <w:sz w:val="19"/>
                <w:szCs w:val="19"/>
              </w:rPr>
              <w:t xml:space="preserve">Approach</w:t>
            </w:r>
          </w:p>
        </w:tc>
        <w:tc>
          <w:tcPr>
            <w:tcW w:type="dxa" w:w="4160"/>
            <w:shd w:fill="1F3864" w:val="clear"/>
            <w:tcMar>
              <w:top w:type="dxa" w:w="100"/>
              <w:left w:type="dxa" w:w="110"/>
              <w:bottom w:type="dxa" w:w="100"/>
              <w:right w:type="dxa" w:w="110"/>
            </w:tcMar>
          </w:tcPr>
          <w:p>
            <w:r>
              <w:rPr>
                <w:b/>
                <w:bCs/>
                <w:color w:val="FFFFFF"/>
                <w:sz w:val="19"/>
                <w:szCs w:val="19"/>
              </w:rPr>
              <w:t xml:space="preserve">Description</w:t>
            </w:r>
          </w:p>
        </w:tc>
        <w:tc>
          <w:tcPr>
            <w:tcW w:type="dxa" w:w="2600"/>
            <w:shd w:fill="1F3864" w:val="clear"/>
            <w:tcMar>
              <w:top w:type="dxa" w:w="100"/>
              <w:left w:type="dxa" w:w="110"/>
              <w:bottom w:type="dxa" w:w="100"/>
              <w:right w:type="dxa" w:w="110"/>
            </w:tcMar>
          </w:tcPr>
          <w:p>
            <w:r>
              <w:rPr>
                <w:b/>
                <w:bCs/>
                <w:color w:val="FFFFFF"/>
                <w:sz w:val="19"/>
                <w:szCs w:val="19"/>
              </w:rPr>
              <w:t xml:space="preserve">Best For</w:t>
            </w:r>
          </w:p>
        </w:tc>
      </w:tr>
      <w:tr>
        <w:tc>
          <w:tcPr>
            <w:tcW w:type="dxa" w:w="2600"/>
            <w:shd w:fill="FFFFFF" w:val="clear"/>
            <w:tcMar>
              <w:top w:type="dxa" w:w="90"/>
              <w:left w:type="dxa" w:w="110"/>
              <w:bottom w:type="dxa" w:w="90"/>
              <w:right w:type="dxa" w:w="110"/>
            </w:tcMar>
          </w:tcPr>
          <w:p>
            <w:r>
              <w:rPr>
                <w:sz w:val="19"/>
                <w:szCs w:val="19"/>
              </w:rPr>
              <w:t xml:space="preserve">Hosted API (closed model)</w:t>
            </w:r>
          </w:p>
        </w:tc>
        <w:tc>
          <w:tcPr>
            <w:tcW w:type="dxa" w:w="4160"/>
            <w:shd w:fill="FFFFFF" w:val="clear"/>
            <w:tcMar>
              <w:top w:type="dxa" w:w="90"/>
              <w:left w:type="dxa" w:w="110"/>
              <w:bottom w:type="dxa" w:w="90"/>
              <w:right w:type="dxa" w:w="110"/>
            </w:tcMar>
          </w:tcPr>
          <w:p>
            <w:r>
              <w:rPr>
                <w:sz w:val="19"/>
                <w:szCs w:val="19"/>
              </w:rPr>
              <w:t xml:space="preserve">Call a provider's API directly; they handle all serving infrastructure</w:t>
            </w:r>
          </w:p>
        </w:tc>
        <w:tc>
          <w:tcPr>
            <w:tcW w:type="dxa" w:w="2600"/>
            <w:shd w:fill="FFFFFF" w:val="clear"/>
            <w:tcMar>
              <w:top w:type="dxa" w:w="90"/>
              <w:left w:type="dxa" w:w="110"/>
              <w:bottom w:type="dxa" w:w="90"/>
              <w:right w:type="dxa" w:w="110"/>
            </w:tcMar>
          </w:tcPr>
          <w:p>
            <w:r>
              <w:rPr>
                <w:sz w:val="19"/>
                <w:szCs w:val="19"/>
              </w:rPr>
              <w:t xml:space="preserve">Most teams — fastest to production, no ops burden</w:t>
            </w:r>
          </w:p>
        </w:tc>
      </w:tr>
      <w:tr>
        <w:tc>
          <w:tcPr>
            <w:tcW w:type="dxa" w:w="2600"/>
            <w:shd w:fill="F2F2F2" w:val="clear"/>
            <w:tcMar>
              <w:top w:type="dxa" w:w="90"/>
              <w:left w:type="dxa" w:w="110"/>
              <w:bottom w:type="dxa" w:w="90"/>
              <w:right w:type="dxa" w:w="110"/>
            </w:tcMar>
          </w:tcPr>
          <w:p>
            <w:r>
              <w:rPr>
                <w:sz w:val="19"/>
                <w:szCs w:val="19"/>
              </w:rPr>
              <w:t xml:space="preserve">Managed serving (open-weight model)</w:t>
            </w:r>
          </w:p>
        </w:tc>
        <w:tc>
          <w:tcPr>
            <w:tcW w:type="dxa" w:w="4160"/>
            <w:shd w:fill="F2F2F2" w:val="clear"/>
            <w:tcMar>
              <w:top w:type="dxa" w:w="90"/>
              <w:left w:type="dxa" w:w="110"/>
              <w:bottom w:type="dxa" w:w="90"/>
              <w:right w:type="dxa" w:w="110"/>
            </w:tcMar>
          </w:tcPr>
          <w:p>
            <w:r>
              <w:rPr>
                <w:sz w:val="19"/>
                <w:szCs w:val="19"/>
              </w:rPr>
              <w:t xml:space="preserve">Use a cloud platform's managed inference service for an open-weight model</w:t>
            </w:r>
          </w:p>
        </w:tc>
        <w:tc>
          <w:tcPr>
            <w:tcW w:type="dxa" w:w="2600"/>
            <w:shd w:fill="F2F2F2" w:val="clear"/>
            <w:tcMar>
              <w:top w:type="dxa" w:w="90"/>
              <w:left w:type="dxa" w:w="110"/>
              <w:bottom w:type="dxa" w:w="90"/>
              <w:right w:type="dxa" w:w="110"/>
            </w:tcMar>
          </w:tcPr>
          <w:p>
            <w:r>
              <w:rPr>
                <w:sz w:val="19"/>
                <w:szCs w:val="19"/>
              </w:rPr>
              <w:t xml:space="preserve">Teams wanting more control without full ops responsibility</w:t>
            </w:r>
          </w:p>
        </w:tc>
      </w:tr>
      <w:tr>
        <w:tc>
          <w:tcPr>
            <w:tcW w:type="dxa" w:w="2600"/>
            <w:shd w:fill="FFFFFF" w:val="clear"/>
            <w:tcMar>
              <w:top w:type="dxa" w:w="90"/>
              <w:left w:type="dxa" w:w="110"/>
              <w:bottom w:type="dxa" w:w="90"/>
              <w:right w:type="dxa" w:w="110"/>
            </w:tcMar>
          </w:tcPr>
          <w:p>
            <w:r>
              <w:rPr>
                <w:sz w:val="19"/>
                <w:szCs w:val="19"/>
              </w:rPr>
              <w:t xml:space="preserve">Self-hosted serving</w:t>
            </w:r>
          </w:p>
        </w:tc>
        <w:tc>
          <w:tcPr>
            <w:tcW w:type="dxa" w:w="4160"/>
            <w:shd w:fill="FFFFFF" w:val="clear"/>
            <w:tcMar>
              <w:top w:type="dxa" w:w="90"/>
              <w:left w:type="dxa" w:w="110"/>
              <w:bottom w:type="dxa" w:w="90"/>
              <w:right w:type="dxa" w:w="110"/>
            </w:tcMar>
          </w:tcPr>
          <w:p>
            <w:r>
              <w:rPr>
                <w:sz w:val="19"/>
                <w:szCs w:val="19"/>
              </w:rPr>
              <w:t xml:space="preserve">Run your own inference servers for an open-weight model</w:t>
            </w:r>
          </w:p>
        </w:tc>
        <w:tc>
          <w:tcPr>
            <w:tcW w:type="dxa" w:w="2600"/>
            <w:shd w:fill="FFFFFF" w:val="clear"/>
            <w:tcMar>
              <w:top w:type="dxa" w:w="90"/>
              <w:left w:type="dxa" w:w="110"/>
              <w:bottom w:type="dxa" w:w="90"/>
              <w:right w:type="dxa" w:w="110"/>
            </w:tcMar>
          </w:tcPr>
          <w:p>
            <w:r>
              <w:rPr>
                <w:sz w:val="19"/>
                <w:szCs w:val="19"/>
              </w:rPr>
              <w:t xml:space="preserve">High-volume, cost-sensitive, or strict data-residency needs</w:t>
            </w:r>
          </w:p>
        </w:tc>
      </w:tr>
    </w:tbl>
    <w:p>
      <w:pPr>
        <w:spacing w:after="160" w:line="300"/>
      </w:pPr>
      <w:r>
        <w:t xml:space="preserve">Key product-facing serving concerns: latency (how fast a response comes back), throughput (how many concurrent requests the system can handle), and caching (reusing a previous response or partial computation to save cost and time on repeated or similar queries).</w:t>
      </w:r>
    </w:p>
    <w:p>
      <w:pPr>
        <w:pStyle w:val="Heading1"/>
        <w:spacing w:after="160" w:before="360"/>
      </w:pPr>
      <w:r>
        <w:rPr>
          <w:b/>
          <w:bCs/>
          <w:color w:val="1F3864"/>
        </w:rPr>
        <w:t xml:space="preserve">Sub-Lesson 4.9 — Token Economics</w:t>
      </w:r>
    </w:p>
    <w:p>
      <w:pPr>
        <w:spacing w:after="160" w:line="300"/>
      </w:pPr>
      <w:r>
        <w:t xml:space="preserve">Token economics is the discipline of understanding and managing what an AI feature actually costs in production — a genuinely new challenge for most finance and product teams, because token-based, consumption-driven pricing behaves very differently from traditional per-seat software costs.</w:t>
      </w:r>
    </w:p>
    <w:p>
      <w:pPr>
        <w:pStyle w:val="Heading2"/>
        <w:spacing w:after="120" w:before="280"/>
      </w:pPr>
      <w:r>
        <w:rPr>
          <w:b/>
          <w:bCs/>
          <w:color w:val="2E5395"/>
        </w:rPr>
        <w:t xml:space="preserve">Why This Has Become Its Own Discipline</w:t>
      </w:r>
    </w:p>
    <w:p>
      <w:pPr>
        <w:pStyle w:val="ListParagraph"/>
        <w:numPr>
          <w:ilvl w:val="0"/>
          <w:numId w:val="2"/>
        </w:numPr>
        <w:spacing w:after="80"/>
      </w:pPr>
      <w:r>
        <w:t xml:space="preserve">Per-token prices have generally fallen, but total spend keeps rising anyway — because usage volume (especially from agentic workflows that call a model many times per task) is growing faster than prices are dropping.</w:t>
      </w:r>
    </w:p>
    <w:p>
      <w:pPr>
        <w:pStyle w:val="ListParagraph"/>
        <w:numPr>
          <w:ilvl w:val="0"/>
          <w:numId w:val="2"/>
        </w:numPr>
        <w:spacing w:after="80"/>
      </w:pPr>
      <w:r>
        <w:t xml:space="preserve">Agentic workflows are a specific cost multiplier: a system that reasons through 20 steps to complete a task consumes many times the tokens of a single chat response, and many designs resend the entire conversation history with every step.</w:t>
      </w:r>
    </w:p>
    <w:p>
      <w:pPr>
        <w:pStyle w:val="ListParagraph"/>
        <w:numPr>
          <w:ilvl w:val="0"/>
          <w:numId w:val="2"/>
        </w:numPr>
        <w:spacing w:after="80"/>
      </w:pPr>
      <w:r>
        <w:t xml:space="preserve">Real enterprises have been caught badly off guard: a majority of organizations recently reported their AI costs exceeded original projections, and individual agentic projects have overshot budget by more than double, in some cases.</w:t>
      </w:r>
    </w:p>
    <w:tbl>
      <w:tblPr>
        <w:tblW w:type="dxa" w:w="9360"/>
        <w:tblBorders>
          <w:top w:val="single" w:color="2E5395" w:sz="6"/>
          <w:left w:val="single" w:color="2E5395" w:sz="6"/>
          <w:bottom w:val="single" w:color="2E5395" w:sz="6"/>
          <w:right w:val="single" w:color="2E5395" w:sz="6"/>
          <w:insideH w:val="none" w:color="FFFFFF" w:sz="0"/>
          <w:insideV w:val="none" w:color="FFFFFF" w:sz="0"/>
        </w:tblBorders>
      </w:tblPr>
      <w:tblGrid>
        <w:gridCol w:w="9360"/>
      </w:tblGrid>
      <w:tr>
        <w:tc>
          <w:tcPr>
            <w:tcW w:type="dxa" w:w="9360"/>
            <w:shd w:fill="DDEBF7" w:val="clear"/>
            <w:tcMar>
              <w:top w:type="dxa" w:w="140"/>
              <w:left w:type="dxa" w:w="180"/>
              <w:bottom w:type="dxa" w:w="140"/>
              <w:right w:type="dxa" w:w="180"/>
            </w:tcMar>
          </w:tcPr>
          <w:p>
            <w:r>
              <w:rPr>
                <w:b/>
                <w:bCs/>
                <w:color w:val="1F3864"/>
              </w:rPr>
              <w:t xml:space="preserve">Teaching Note</w:t>
            </w:r>
          </w:p>
          <w:p>
            <w:pPr>
              <w:spacing w:before="60"/>
            </w:pPr>
            <w:r>
              <w:t xml:space="preserve">This is the central moment for the Uber case study (see Case Studies document) — arguably the most detailed, most current, real example available of token economics becoming a genuine business risk, even in a rollout that was working exactly as designed.</w:t>
            </w:r>
          </w:p>
        </w:tc>
      </w:tr>
    </w:tbl>
    <w:p>
      <w:pPr>
        <w:pStyle w:val="Heading1"/>
        <w:spacing w:after="160" w:before="360"/>
      </w:pPr>
      <w:r>
        <w:rPr>
          <w:b/>
          <w:bCs/>
          <w:color w:val="1F3864"/>
        </w:rPr>
        <w:t xml:space="preserve">Sub-Lesson 4.10 — AI Evaluation</w:t>
      </w:r>
    </w:p>
    <w:p>
      <w:pPr>
        <w:spacing w:after="160" w:line="300"/>
      </w:pPr>
      <w:r>
        <w:t xml:space="preserve">AI evaluation ("evals") is the practice of systematically measuring whether an AI system is actually performing well — the production discipline that replaces "it seems to work when I tried it" with a real, repeatable measurement.</w:t>
      </w:r>
    </w:p>
    <w:p>
      <w:pPr>
        <w:pStyle w:val="Heading2"/>
        <w:spacing w:after="120" w:before="280"/>
      </w:pPr>
      <w:r>
        <w:rPr>
          <w:b/>
          <w:bCs/>
          <w:color w:val="2E5395"/>
        </w:rPr>
        <w:t xml:space="preserve">What a Basic Eval Framework Needs</w:t>
      </w:r>
    </w:p>
    <w:p>
      <w:pPr>
        <w:pStyle w:val="ListParagraph"/>
        <w:numPr>
          <w:ilvl w:val="0"/>
          <w:numId w:val="2"/>
        </w:numPr>
        <w:spacing w:after="80"/>
      </w:pPr>
      <w:r>
        <w:t xml:space="preserve">A test set — a fixed set of representative inputs with known-good expected outputs or scoring criteria.</w:t>
      </w:r>
    </w:p>
    <w:p>
      <w:pPr>
        <w:pStyle w:val="ListParagraph"/>
        <w:numPr>
          <w:ilvl w:val="0"/>
          <w:numId w:val="2"/>
        </w:numPr>
        <w:spacing w:after="80"/>
      </w:pPr>
      <w:r>
        <w:t xml:space="preserve">Metrics appropriate to the task — accuracy/precision/recall for classification, faithfulness and relevance for generation, task completion rate for agents.</w:t>
      </w:r>
    </w:p>
    <w:p>
      <w:pPr>
        <w:pStyle w:val="ListParagraph"/>
        <w:numPr>
          <w:ilvl w:val="0"/>
          <w:numId w:val="2"/>
        </w:numPr>
        <w:spacing w:after="80"/>
      </w:pPr>
      <w:r>
        <w:t xml:space="preserve">A shipping threshold — a defined bar the system must clear before it's considered ready, decided in advance, not judged by eye after the fact.</w:t>
      </w:r>
    </w:p>
    <w:p>
      <w:pPr>
        <w:pStyle w:val="ListParagraph"/>
        <w:numPr>
          <w:ilvl w:val="0"/>
          <w:numId w:val="2"/>
        </w:numPr>
        <w:spacing w:after="80"/>
      </w:pPr>
      <w:r>
        <w:t xml:space="preserve">A regression check — the same eval set re-run whenever the prompt, model, or pipeline changes, to catch silent quality drops before they reach users.</w:t>
      </w:r>
    </w:p>
    <w:p>
      <w:pPr>
        <w:spacing w:after="160" w:line="300"/>
      </w:pPr>
      <w:r>
        <w:t xml:space="preserve">Evaluation is the thread connecting nearly every other topic in this lesson: it's how you'd actually know whether a RAG change, a fine-tuning decision, or a cheaper model choice made things better or worse.</w:t>
      </w:r>
    </w:p>
    <w:p>
      <w:r>
        <w:br w:type="page"/>
      </w:r>
    </w:p>
    <w:p>
      <w:pPr>
        <w:pStyle w:val="Heading1"/>
        <w:spacing w:after="160" w:before="360"/>
      </w:pPr>
      <w:r>
        <w:rPr>
          <w:b/>
          <w:bCs/>
          <w:color w:val="1F3864"/>
        </w:rPr>
        <w:t xml:space="preserve">Lesson Summary &amp; Key Takeaways</w:t>
      </w:r>
    </w:p>
    <w:p>
      <w:pPr>
        <w:pStyle w:val="ListParagraph"/>
        <w:numPr>
          <w:ilvl w:val="0"/>
          <w:numId w:val="2"/>
        </w:numPr>
        <w:spacing w:after="80"/>
      </w:pPr>
      <w:r>
        <w:t xml:space="preserve">APIs are the boundary most PMs actually need to understand — request/response shape, rate limits, latency, and cost — not the model internals behind them.</w:t>
      </w:r>
    </w:p>
    <w:p>
      <w:pPr>
        <w:pStyle w:val="ListParagraph"/>
        <w:numPr>
          <w:ilvl w:val="0"/>
          <w:numId w:val="2"/>
        </w:numPr>
        <w:spacing w:after="80"/>
      </w:pPr>
      <w:r>
        <w:t xml:space="preserve">AI infrastructure (compute, hosting, orchestration) mostly operates invisibly behind an API, but understanding it explains real cost and capacity behavior.</w:t>
      </w:r>
    </w:p>
    <w:p>
      <w:pPr>
        <w:pStyle w:val="ListParagraph"/>
        <w:numPr>
          <w:ilvl w:val="0"/>
          <w:numId w:val="2"/>
        </w:numPr>
        <w:spacing w:after="80"/>
      </w:pPr>
      <w:r>
        <w:t xml:space="preserve">RAG is a five-step pipeline (chunk, embed, store, retrieve, generate), and each step is a real engineering decision with trade-offs.</w:t>
      </w:r>
    </w:p>
    <w:p>
      <w:pPr>
        <w:pStyle w:val="ListParagraph"/>
        <w:numPr>
          <w:ilvl w:val="0"/>
          <w:numId w:val="2"/>
        </w:numPr>
        <w:spacing w:after="80"/>
      </w:pPr>
      <w:r>
        <w:t xml:space="preserve">Vector database choice is a genuine architecture decision — the easiest option to start with isn't always the right one at real scale.</w:t>
      </w:r>
    </w:p>
    <w:p>
      <w:pPr>
        <w:pStyle w:val="ListParagraph"/>
        <w:numPr>
          <w:ilvl w:val="0"/>
          <w:numId w:val="2"/>
        </w:numPr>
        <w:spacing w:after="80"/>
      </w:pPr>
      <w:r>
        <w:t xml:space="preserve">Fine-tuning changes model behavior permanently; RAG supplies current knowledge at query time — most production systems that fine-tune at all combine it with RAG.</w:t>
      </w:r>
    </w:p>
    <w:p>
      <w:pPr>
        <w:pStyle w:val="ListParagraph"/>
        <w:numPr>
          <w:ilvl w:val="0"/>
          <w:numId w:val="2"/>
        </w:numPr>
        <w:spacing w:after="80"/>
      </w:pPr>
      <w:r>
        <w:t xml:space="preserve">A production AI pipeline is much more than "call the model" — every added stage is a place cost, latency, or failure can enter.</w:t>
      </w:r>
    </w:p>
    <w:p>
      <w:pPr>
        <w:pStyle w:val="ListParagraph"/>
        <w:numPr>
          <w:ilvl w:val="0"/>
          <w:numId w:val="2"/>
        </w:numPr>
        <w:spacing w:after="80"/>
      </w:pPr>
      <w:r>
        <w:t xml:space="preserve">Model serving choices (hosted, managed, self-hosted) trade off speed-to-production against cost and control.</w:t>
      </w:r>
    </w:p>
    <w:p>
      <w:pPr>
        <w:pStyle w:val="ListParagraph"/>
        <w:numPr>
          <w:ilvl w:val="0"/>
          <w:numId w:val="2"/>
        </w:numPr>
        <w:spacing w:after="80"/>
      </w:pPr>
      <w:r>
        <w:t xml:space="preserve">Token economics has become its own enterprise discipline because consumption-driven AI costs behave nothing like traditional per-seat software costs, especially under agentic workloads.</w:t>
      </w:r>
    </w:p>
    <w:p>
      <w:pPr>
        <w:pStyle w:val="ListParagraph"/>
        <w:numPr>
          <w:ilvl w:val="0"/>
          <w:numId w:val="2"/>
        </w:numPr>
        <w:spacing w:after="80"/>
      </w:pPr>
      <w:r>
        <w:t xml:space="preserve">AI evaluation is the practice that makes every other decision in this lesson measurable rather than a guess.</w:t>
      </w:r>
    </w:p>
    <w:p>
      <w:pPr>
        <w:spacing w:after="120"/>
      </w:pPr>
    </w:p>
    <w:tbl>
      <w:tblPr>
        <w:tblW w:type="dxa" w:w="9360"/>
        <w:tblBorders>
          <w:top w:val="single" w:color="2E5395" w:sz="6"/>
          <w:left w:val="single" w:color="2E5395" w:sz="6"/>
          <w:bottom w:val="single" w:color="2E5395" w:sz="6"/>
          <w:right w:val="single" w:color="2E5395" w:sz="6"/>
          <w:insideH w:val="none" w:color="FFFFFF" w:sz="0"/>
          <w:insideV w:val="none" w:color="FFFFFF" w:sz="0"/>
        </w:tblBorders>
      </w:tblPr>
      <w:tblGrid>
        <w:gridCol w:w="9360"/>
      </w:tblGrid>
      <w:tr>
        <w:tc>
          <w:tcPr>
            <w:tcW w:type="dxa" w:w="9360"/>
            <w:shd w:fill="DDEBF7" w:val="clear"/>
            <w:tcMar>
              <w:top w:type="dxa" w:w="140"/>
              <w:left w:type="dxa" w:w="180"/>
              <w:bottom w:type="dxa" w:w="140"/>
              <w:right w:type="dxa" w:w="180"/>
            </w:tcMar>
          </w:tcPr>
          <w:p>
            <w:r>
              <w:rPr>
                <w:b/>
                <w:bCs/>
                <w:color w:val="1F3864"/>
              </w:rPr>
              <w:t xml:space="preserve">Bridge to the Deliverable</w:t>
            </w:r>
          </w:p>
          <w:p>
            <w:pPr>
              <w:spacing w:before="60"/>
            </w:pPr>
            <w:r>
              <w:t xml:space="preserve">The enterprise AI architecture deliverable asks students to make and justify a real decision at every layer covered in this lesson: API/model choice, infrastructure approach, RAG and vector database design, the fine-tuning decision, pipeline design, serving strategy, a token economics/cost model, and an evaluation plan. See the separate Deliverable Brief document for the full assignment.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2026-07-31T13:49:01.966Z</dcterms:created>
  <dcterms:modified xsi:type="dcterms:W3CDTF">2026-07-31T13:49:01.985Z</dcterms:modified>
</cp:coreProperties>
</file>

<file path=docProps/custom.xml><?xml version="1.0" encoding="utf-8"?>
<Properties xmlns="http://schemas.openxmlformats.org/officeDocument/2006/custom-properties" xmlns:vt="http://schemas.openxmlformats.org/officeDocument/2006/docPropsVTypes"/>
</file>