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29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</w:t>
      </w:r>
      <w:r>
        <w:t xml:space="preserve"> </w:t>
      </w:r>
      <w:r>
        <w:t xml:space="preserve">Display</w:t>
      </w:r>
      <w:r>
        <w:t xml:space="preserve"> </w:t>
      </w:r>
      <w:r>
        <w:t xml:space="preserve">of</w:t>
      </w:r>
      <w:r>
        <w:t xml:space="preserve"> </w:t>
      </w:r>
      <w:r>
        <w:t xml:space="preserve">Population</w:t>
      </w:r>
      <w:r>
        <w:t xml:space="preserve"> </w:t>
      </w:r>
      <w:r>
        <w:t xml:space="preserve">Soybean</w:t>
      </w:r>
      <w:r>
        <w:t xml:space="preserve"> </w:t>
      </w:r>
      <w:r>
        <w:t xml:space="preserve">Genomic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Shiny</w:t>
      </w:r>
    </w:p>
    <w:p>
      <w:pPr>
        <w:pStyle w:val="Author"/>
      </w:pPr>
      <w:r>
        <w:t xml:space="preserve">Susan</w:t>
      </w:r>
      <w:r>
        <w:t xml:space="preserve"> </w:t>
      </w:r>
      <w:r>
        <w:t xml:space="preserve">VanderPlas,</w:t>
      </w:r>
      <w:r>
        <w:t xml:space="preserve"> </w:t>
      </w:r>
      <w:r>
        <w:t xml:space="preserve">Di</w:t>
      </w:r>
      <w:r>
        <w:t xml:space="preserve"> </w:t>
      </w:r>
      <w:r>
        <w:t xml:space="preserve">Cook,</w:t>
      </w:r>
      <w:r>
        <w:t xml:space="preserve"> </w:t>
      </w:r>
      <w:r>
        <w:t xml:space="preserve">Michelle</w:t>
      </w:r>
      <w:r>
        <w:t xml:space="preserve"> </w:t>
      </w:r>
      <w:r>
        <w:t xml:space="preserve">Graham</w:t>
      </w:r>
    </w:p>
    <w:p>
      <w:pPr>
        <w:pStyle w:val="Date"/>
      </w:pPr>
      <w:r>
        <w:t xml:space="preserve">09/03/2014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Heading1"/>
      </w:pPr>
      <w:bookmarkStart w:id="22" w:name="interactive-display-of-biological-data"/>
      <w:bookmarkEnd w:id="22"/>
      <w:r>
        <w:t xml:space="preserve">Interactive Display of Biological Data</w:t>
      </w:r>
    </w:p>
    <w:p>
      <w:pPr>
        <w:pStyle w:val="Compact"/>
        <w:numPr>
          <w:numId w:val="1001"/>
          <w:ilvl w:val="0"/>
        </w:numPr>
      </w:pPr>
      <w:r>
        <w:t xml:space="preserve">Literature review?</w:t>
      </w:r>
    </w:p>
    <w:p>
      <w:r>
        <w:t xml:space="preserve">http://kbroman.org/qtlcharts/</w:t>
      </w:r>
    </w:p>
    <w:p>
      <w:pPr>
        <w:numPr>
          <w:numId w:val="1002"/>
          <w:ilvl w:val="0"/>
        </w:numPr>
      </w:pPr>
      <w:r>
        <w:t xml:space="preserve">Discuss size of the data</w:t>
      </w:r>
    </w:p>
    <w:p>
      <w:pPr>
        <w:numPr>
          <w:numId w:val="1002"/>
          <w:ilvl w:val="0"/>
        </w:numPr>
      </w:pPr>
      <w:r>
        <w:t xml:space="preserve">What is Shiny, how does it work, etc.</w:t>
      </w:r>
    </w:p>
    <w:p>
      <w:pPr>
        <w:pStyle w:val="Heading2"/>
      </w:pPr>
      <w:bookmarkStart w:id="23" w:name="why-shiny"/>
      <w:bookmarkEnd w:id="23"/>
      <w:r>
        <w:t xml:space="preserve">Why Shiny?</w:t>
      </w:r>
    </w:p>
    <w:p>
      <w:r>
        <w:t xml:space="preserve">Explain interactivity, server backend, advantage of serving up data over the web.</w:t>
      </w:r>
    </w:p>
    <w:p>
      <w:pPr>
        <w:pStyle w:val="Heading1"/>
      </w:pPr>
      <w:bookmarkStart w:id="24" w:name="data"/>
      <w:bookmarkEnd w:id="24"/>
      <w:r>
        <w:t xml:space="preserve">Data</w:t>
      </w:r>
    </w:p>
    <w:p>
      <w:r>
        <w:t xml:space="preserve">Describe magnitude of data, CNV analysis steps, etc.</w:t>
      </w:r>
    </w:p>
    <w:p>
      <w:pPr>
        <w:pStyle w:val="Heading1"/>
      </w:pPr>
      <w:bookmarkStart w:id="25" w:name="basic-usage"/>
      <w:bookmarkEnd w:id="25"/>
      <w:r>
        <w:t xml:space="preserve">Basic Usage</w:t>
      </w:r>
    </w:p>
    <w:p>
      <w:pPr>
        <w:pStyle w:val="Heading2"/>
      </w:pPr>
      <w:bookmarkStart w:id="26" w:name="copy-number-variation"/>
      <w:bookmarkEnd w:id="26"/>
      <w:r>
        <w:t xml:space="preserve">Copy Number Variation</w:t>
      </w:r>
    </w:p>
    <w:p>
      <w:pPr>
        <w:pStyle w:val="Compact"/>
        <w:numPr>
          <w:numId w:val="1003"/>
          <w:ilvl w:val="0"/>
        </w:numPr>
      </w:pPr>
      <w:r>
        <w:t xml:space="preserve">Describe different tabs in the applet, explaining the CNV methodology in minimal detail? Discuss the inclusion of genetic data and phenotype information (for reference purposes).</w:t>
      </w:r>
    </w:p>
    <w:p>
      <w:r>
        <w:drawing>
          <wp:inline>
            <wp:extent cx="5440680" cy="30603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NVLo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06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Copy Number Variation Sites</w:t>
      </w:r>
    </w:p>
    <w:p>
      <w:r>
        <w:drawing>
          <wp:inline>
            <wp:extent cx="5440680" cy="30603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NVCopyNumb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06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Copy Numbers</w:t>
      </w:r>
    </w:p>
    <w:p>
      <w:r>
        <w:drawing>
          <wp:inline>
            <wp:extent cx="5440680" cy="30603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NVListRan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06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Copy Number List with Chromosome Position Search</w:t>
      </w:r>
    </w:p>
    <w:p>
      <w:r>
        <w:drawing>
          <wp:inline>
            <wp:extent cx="5440680" cy="30603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NVListFil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06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Copy Number List with Filters by Variety and Chromosome</w:t>
      </w:r>
    </w:p>
    <w:p>
      <w:pPr>
        <w:numPr>
          <w:numId w:val="1004"/>
          <w:ilvl w:val="0"/>
        </w:numPr>
      </w:pPr>
      <w:r>
        <w:t xml:space="preserve">Include example video of Michelle using the applet.</w:t>
      </w:r>
    </w:p>
    <w:p>
      <w:pPr>
        <w:numPr>
          <w:numId w:val="1004"/>
          <w:ilvl w:val="0"/>
        </w:numPr>
      </w:pPr>
      <w:hyperlink r:id="rId31">
        <w:r>
          <w:rPr>
            <w:rStyle w:val="Link"/>
          </w:rPr>
          <w:t xml:space="preserve">Applet Link</w:t>
        </w:r>
      </w:hyperlink>
    </w:p>
    <w:p>
      <w:pPr>
        <w:pStyle w:val="Heading2"/>
      </w:pPr>
      <w:bookmarkStart w:id="32" w:name="single-nucleotide-polymorphisms"/>
      <w:bookmarkEnd w:id="32"/>
      <w:r>
        <w:t xml:space="preserve">Single Nucleotide Polymorphisms</w:t>
      </w:r>
    </w:p>
    <w:p>
      <w:pPr>
        <w:numPr>
          <w:numId w:val="1005"/>
          <w:ilvl w:val="0"/>
        </w:numPr>
      </w:pPr>
      <w:r>
        <w:t xml:space="preserve">Describe tabs, data workflow</w:t>
      </w:r>
    </w:p>
    <w:p>
      <w:pPr>
        <w:numPr>
          <w:numId w:val="1005"/>
          <w:ilvl w:val="0"/>
        </w:numPr>
      </w:pPr>
      <w:r>
        <w:t xml:space="preserve">Include example video of Michelle using the applet</w:t>
      </w:r>
    </w:p>
    <w:p>
      <w:pPr>
        <w:numPr>
          <w:numId w:val="1005"/>
          <w:ilvl w:val="0"/>
        </w:numPr>
      </w:pPr>
      <w:hyperlink r:id="rId33">
        <w:r>
          <w:rPr>
            <w:rStyle w:val="Link"/>
          </w:rPr>
          <w:t xml:space="preserve">Applet Link</w:t>
        </w:r>
      </w:hyperlink>
    </w:p>
    <w:p>
      <w:pPr>
        <w:pStyle w:val="Heading2"/>
      </w:pPr>
      <w:bookmarkStart w:id="34" w:name="genealogy-and-phenotype-reference"/>
      <w:bookmarkEnd w:id="34"/>
      <w:r>
        <w:t xml:space="preserve">Genealogy and Phenotype Reference</w:t>
      </w:r>
    </w:p>
    <w:p>
      <w:pPr>
        <w:numPr>
          <w:numId w:val="1006"/>
          <w:ilvl w:val="0"/>
        </w:numPr>
      </w:pPr>
      <w:r>
        <w:t xml:space="preserve">Describe spin-off of CNV applet - genealogy of (most) soybean varieties</w:t>
      </w:r>
    </w:p>
    <w:p>
      <w:pPr>
        <w:numPr>
          <w:numId w:val="1006"/>
          <w:ilvl w:val="0"/>
        </w:numPr>
      </w:pPr>
      <w:hyperlink r:id="rId35">
        <w:r>
          <w:rPr>
            <w:rStyle w:val="Link"/>
          </w:rPr>
          <w:t xml:space="preserve">Applet 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eb64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707c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hyperlink" Id="rId31" Target="http://gsoja.agron.iastate.edu:3838/CNV/" TargetMode="External" /><Relationship Type="http://schemas.openxmlformats.org/officeDocument/2006/relationships/hyperlink" Id="rId35" Target="http://gsoja.agron.iastate.edu:3838/Genealogy/" TargetMode="External" /><Relationship Type="http://schemas.openxmlformats.org/officeDocument/2006/relationships/hyperlink" Id="rId33" Target="http://gsoja.agron.iastate.edu:3838/SNP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gsoja.agron.iastate.edu:3838/CNV/" TargetMode="External" /><Relationship Type="http://schemas.openxmlformats.org/officeDocument/2006/relationships/hyperlink" Id="rId35" Target="http://gsoja.agron.iastate.edu:3838/Genealogy/" TargetMode="External" /><Relationship Type="http://schemas.openxmlformats.org/officeDocument/2006/relationships/hyperlink" Id="rId33" Target="http://gsoja.agron.iastate.edu:3838/SN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Display of Population Soybean Genomic Data with Shiny</dc:title>
  <dc:creator>Susan VanderPlas, Di Cook, Michelle Graham</dc:creator>
  <dcterms:created xsi:type="dcterms:W3CDTF">2014-09-03</dcterms:created>
  <dcterms:modified xsi:type="dcterms:W3CDTF">2014-09-03</dcterms:modified>
</cp:coreProperties>
</file>