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INSTRUCCIONES DE USO: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b w:val="0"/>
        </w:rPr>
      </w:pPr>
      <w:r w:rsidDel="00000000" w:rsidR="00000000" w:rsidRPr="00000000">
        <w:rPr>
          <w:b w:val="0"/>
          <w:rtl w:val="0"/>
        </w:rPr>
        <w:tab/>
        <w:tab/>
        <w:t xml:space="preserve">1. Ve a "Archivo" en el menú de la esquina superior izquierda.</w:t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b w:val="0"/>
        </w:rPr>
      </w:pPr>
      <w:r w:rsidDel="00000000" w:rsidR="00000000" w:rsidRPr="00000000">
        <w:rPr>
          <w:b w:val="0"/>
          <w:rtl w:val="0"/>
        </w:rPr>
        <w:tab/>
        <w:tab/>
        <w:t xml:space="preserve">2. Haz clic sobre "Descargar como". De este modo, tendrás tu propia copia editable de la plantilla. </w:t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b w:val="0"/>
        </w:rPr>
      </w:pPr>
      <w:r w:rsidDel="00000000" w:rsidR="00000000" w:rsidRPr="00000000">
        <w:rPr>
          <w:b w:val="0"/>
          <w:rtl w:val="0"/>
        </w:rPr>
        <w:tab/>
        <w:tab/>
        <w:t xml:space="preserve">3. Ve a tu plantilla editable y revisa las pestañas para completarlas. 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0"/>
        </w:rPr>
      </w:pPr>
      <w:r w:rsidDel="00000000" w:rsidR="00000000" w:rsidRPr="00000000">
        <w:rPr>
          <w:b w:val="0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0"/>
        </w:rPr>
      </w:pPr>
      <w:r w:rsidDel="00000000" w:rsidR="00000000" w:rsidRPr="00000000">
        <w:rPr>
          <w:b w:val="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rPr>
          <w:b w:val="0"/>
          <w:i w:val="1"/>
        </w:rPr>
      </w:pPr>
      <w:r w:rsidDel="00000000" w:rsidR="00000000" w:rsidRPr="00000000">
        <w:rPr>
          <w:b w:val="0"/>
          <w:rtl w:val="0"/>
        </w:rPr>
        <w:tab/>
        <w:tab/>
      </w:r>
      <w:r w:rsidDel="00000000" w:rsidR="00000000" w:rsidRPr="00000000">
        <w:rPr>
          <w:b w:val="0"/>
          <w:i w:val="1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rPr>
          <w:b w:val="0"/>
          <w:i w:val="1"/>
        </w:rPr>
      </w:pPr>
      <w:r w:rsidDel="00000000" w:rsidR="00000000" w:rsidRPr="00000000">
        <w:rPr>
          <w:b w:val="0"/>
          <w:i w:val="1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rPr>
          <w:b w:val="0"/>
          <w:i w:val="1"/>
        </w:rPr>
      </w:pPr>
      <w:r w:rsidDel="00000000" w:rsidR="00000000" w:rsidRPr="00000000">
        <w:rPr>
          <w:b w:val="0"/>
          <w:i w:val="1"/>
          <w:rtl w:val="0"/>
        </w:rPr>
        <w:tab/>
        <w:tab/>
        <w:t xml:space="preserve">Copyright © 2019 - Reservados todos los derechos</w:t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rPr>
          <w:b w:val="0"/>
          <w:i w:val="1"/>
        </w:rPr>
      </w:pPr>
      <w:r w:rsidDel="00000000" w:rsidR="00000000" w:rsidRPr="00000000">
        <w:rPr>
          <w:b w:val="0"/>
          <w:i w:val="1"/>
          <w:rtl w:val="0"/>
        </w:rPr>
        <w:tab/>
        <w:tab/>
        <w:t xml:space="preserve">Plantilla creada por el equipo ADC </w:t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rPr>
          <w:b w:val="0"/>
        </w:rPr>
      </w:pPr>
      <w:r w:rsidDel="00000000" w:rsidR="00000000" w:rsidRPr="00000000">
        <w:rPr>
          <w:b w:val="0"/>
          <w:i w:val="1"/>
          <w:rtl w:val="0"/>
        </w:rPr>
        <w:tab/>
        <w:tab/>
        <w:t xml:space="preserve">(Academia de Consultores)</w:t>
        <w:tab/>
        <w:tab/>
      </w:r>
      <w:r w:rsidDel="00000000" w:rsidR="00000000" w:rsidRPr="00000000">
        <w:rPr>
          <w:b w:val="0"/>
          <w:rtl w:val="0"/>
        </w:rPr>
        <w:tab/>
        <w:tab/>
        <w:tab/>
        <w:tab/>
      </w:r>
    </w:p>
    <w:p w:rsidR="00000000" w:rsidDel="00000000" w:rsidP="00000000" w:rsidRDefault="00000000" w:rsidRPr="00000000" w14:paraId="0000000D">
      <w:pPr>
        <w:rPr>
          <w:b w:val="0"/>
        </w:rPr>
      </w:pPr>
      <w:r w:rsidDel="00000000" w:rsidR="00000000" w:rsidRPr="00000000">
        <w:rPr>
          <w:b w:val="0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9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400"/>
        <w:gridCol w:w="10215"/>
        <w:tblGridChange w:id="0">
          <w:tblGrid>
            <w:gridCol w:w="1380"/>
            <w:gridCol w:w="2400"/>
            <w:gridCol w:w="10215"/>
          </w:tblGrid>
        </w:tblGridChange>
      </w:tblGrid>
      <w:tr>
        <w:trPr>
          <w:trHeight w:val="420" w:hRule="atLeast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Title"/>
              <w:widowControl w:val="0"/>
              <w:rPr/>
            </w:pPr>
            <w:bookmarkStart w:colFirst="0" w:colLast="0" w:name="_v68uabexagmf" w:id="0"/>
            <w:bookmarkEnd w:id="0"/>
            <w:r w:rsidDel="00000000" w:rsidR="00000000" w:rsidRPr="00000000">
              <w:rPr>
                <w:rtl w:val="0"/>
              </w:rPr>
              <w:t xml:space="preserve">GUIONES DE PODCAST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  <w:t xml:space="preserve">GUION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X/X/XXXX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Escribir 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Intro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Punto clave 1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Punto clave 2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Punto clave …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Cierre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6/2/2020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Los clientes del futuro (y del presente)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Las nuevas generaciones están cambiando los patrones de consumo y eso cambia por completo los conceptos de compra y venta, y por tanto nuestras estrategias de marketing.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¿Qué les interesa a los millenials?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Derechos animales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Sustentabilidad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Protección del medio ambiente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Anti racismo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Inclusividad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Feminismo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Derechos LGBT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Casi el 50% de los millennials prefieren comprar de una marca si su compra dedicada respalda una causa.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El 69% de los millennials quieren aventura en su vida diaria, lo que significa nuevas experiencias.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Busca tu nicho - millenial pues dentro de esta generación de entre 18 y 34 años hay una amplia gama de complejidades.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Evitar estrategias globalizadas. Hacer como Amazon que tiene una home diferente para cada país en función de los perfiles.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Los Millennials pierden interés si su mensaje no es respondido en 60 minutos, lo que puede ser perjudicial para su marca.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Según un estudio realizado por Microsoft, aproximadamente el 47% de los millennials usan las redes sociales para registrar quejas sobre los servicios de una marca.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Compartir publicaciones de los usuarios, para que se sientan valorados.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Cuando los usuarios pueden participar y comprar un producto a través de una plataforma de redes sociales, lo que puede aumentar el compromiso y generar mayores conversiones. El social ecommerce simplificar los procesos.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Un estudio predice que el 58% de los millennials reaccionan positivamente a los anuncios cuando aparece su personalidad digital favorita en ellos, lo que demuestra que los influencers pueden ser parte de sus estrategias de medios sociales orgánicas y pagas.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Aprovecha los memes virales para llegar a los millennials, es su lenguaje favorito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fuente: </w:t>
            </w:r>
            <w:hyperlink r:id="rId6">
              <w:r w:rsidDel="00000000" w:rsidR="00000000" w:rsidRPr="00000000">
                <w:rPr>
                  <w:b w:val="0"/>
                  <w:color w:val="999999"/>
                  <w:highlight w:val="white"/>
                  <w:u w:val="single"/>
                  <w:rtl w:val="0"/>
                </w:rPr>
                <w:t xml:space="preserve">https://www.smartinsights.com/social-media-marketing/social-media-strategy/7-ways-to-reach-millennials-through-social-media-marketing/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8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120"/>
        <w:gridCol w:w="3930"/>
        <w:gridCol w:w="6420"/>
        <w:tblGridChange w:id="0">
          <w:tblGrid>
            <w:gridCol w:w="1335"/>
            <w:gridCol w:w="3120"/>
            <w:gridCol w:w="3930"/>
            <w:gridCol w:w="6420"/>
          </w:tblGrid>
        </w:tblGridChange>
      </w:tblGrid>
      <w:tr>
        <w:trPr>
          <w:trHeight w:val="420" w:hRule="atLeast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Title"/>
              <w:widowControl w:val="0"/>
              <w:rPr/>
            </w:pPr>
            <w:bookmarkStart w:colFirst="0" w:colLast="0" w:name="_6no41yhathi2" w:id="1"/>
            <w:bookmarkEnd w:id="1"/>
            <w:r w:rsidDel="00000000" w:rsidR="00000000" w:rsidRPr="00000000">
              <w:rPr>
                <w:rtl w:val="0"/>
              </w:rPr>
              <w:t xml:space="preserve">GUIONES DE VÍDEOS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GUION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X/X/XXXX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00:00:00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Escribir 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Intro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Punto clave 1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Punto clave 2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Punto clave …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b w:val="0"/>
                <w:highlight w:val="white"/>
              </w:rPr>
            </w:pPr>
            <w:r w:rsidDel="00000000" w:rsidR="00000000" w:rsidRPr="00000000">
              <w:rPr>
                <w:b w:val="0"/>
                <w:highlight w:val="white"/>
                <w:rtl w:val="0"/>
              </w:rPr>
              <w:t xml:space="preserve">Cierre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20/2/2020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14-15 min.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Cómo crear una agencia de marketing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Yo comencé… 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Valora tus conocimientos sobre marketing digital  + ejemplo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No hace falta una gran inversión + ejemplo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Ofrece servicios que tus clientes realmente necesitan+ ejemplo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Automatiza servicios + ejemplo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Haz previsiones de gastos y beneficios + ejemplo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No te guies por la competencia + ejemplo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Ten un buen equipo que te respalde + ejemplo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0"/>
                <w:color w:val="999999"/>
                <w:highlight w:val="white"/>
              </w:rPr>
            </w:pPr>
            <w:r w:rsidDel="00000000" w:rsidR="00000000" w:rsidRPr="00000000">
              <w:rPr>
                <w:b w:val="0"/>
                <w:color w:val="999999"/>
                <w:highlight w:val="white"/>
                <w:rtl w:val="0"/>
              </w:rPr>
              <w:t xml:space="preserve">La clave está en aprender cada día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jc w:val="left"/>
      <w:rPr>
        <w:b w:val="1"/>
        <w:shd w:fill="c9daf8" w:val="clear"/>
      </w:rPr>
    </w:pPr>
    <w:r w:rsidDel="00000000" w:rsidR="00000000" w:rsidRPr="00000000">
      <w:rPr>
        <w:shd w:fill="c9daf8" w:val="clear"/>
        <w:rtl w:val="0"/>
      </w:rPr>
      <w:t xml:space="preserve">PLANTILLA PARA GUIONES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oppins" w:cs="Poppins" w:eastAsia="Poppins" w:hAnsi="Poppins"/>
        <w:b w:val="1"/>
        <w:sz w:val="22"/>
        <w:szCs w:val="22"/>
        <w:lang w:val="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martinsights.com/social-media-marketing/social-media-strategy/7-ways-to-reach-millennials-through-social-media-marketing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