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06162070" w14:textId="4AFB5775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100552">
        <w:fldChar w:fldCharType="separate"/>
      </w:r>
      <w:r w:rsidR="00EA740A">
        <w:t>A0 Учёт материалов</w:t>
      </w:r>
      <w:r w:rsidRPr="005230AE">
        <w:fldChar w:fldCharType="end"/>
      </w:r>
      <w:bookmarkEnd w:id="0"/>
    </w:p>
    <w:p w14:paraId="19E72921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14:paraId="28B94919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54219E0D" w14:textId="0DBEBD62" w:rsidR="005D3DA4" w:rsidRPr="005230AE" w:rsidRDefault="00EA740A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 wp14:anchorId="0D91A524" wp14:editId="2EF87C21">
                  <wp:extent cx="8067675" cy="56292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6111B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19748BDF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203B2E86" w14:textId="05E527A6" w:rsidR="005B3F0E" w:rsidRPr="005230AE" w:rsidRDefault="00EA740A" w:rsidP="00C46DB9">
            <w:pPr>
              <w:ind w:left="0"/>
              <w:jc w:val="center"/>
            </w:pPr>
            <w:bookmarkStart w:id="4" w:name="Diagram_626ed7b6"/>
            <w:bookmarkEnd w:id="4"/>
            <w:r>
              <w:rPr>
                <w:noProof/>
              </w:rPr>
              <w:drawing>
                <wp:inline distT="0" distB="0" distL="0" distR="0" wp14:anchorId="27790FB3" wp14:editId="2C63A607">
                  <wp:extent cx="8067675" cy="5629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27269E8A" w14:textId="77777777" w:rsidR="005B3F0E" w:rsidRPr="005230AE" w:rsidRDefault="005B3F0E" w:rsidP="005B3F0E">
      <w:pPr>
        <w:rPr>
          <w:sz w:val="2"/>
          <w:szCs w:val="2"/>
        </w:rPr>
      </w:pPr>
    </w:p>
    <w:p w14:paraId="0F9CD446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0E88477E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59102095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2B59E2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323F3EB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51366B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7A17B9E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61BDF7A3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ED935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A15D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6832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EEFFFDB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8376F84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4D345CF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D21C81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9C571B" w14:textId="77777777" w:rsidR="00013E9F" w:rsidRPr="005230AE" w:rsidRDefault="00013E9F">
            <w:pPr>
              <w:pStyle w:val="Tabletext"/>
            </w:pPr>
            <w:r>
              <w:t>Заявка на заказ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C68345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A6CD73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249776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  <w:tr w:rsidR="00013E9F" w:rsidRPr="005230AE" w14:paraId="4E0B6197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29FC06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B66C9C" w14:textId="77777777" w:rsidR="00013E9F" w:rsidRPr="005230AE" w:rsidRDefault="00013E9F">
            <w:pPr>
              <w:pStyle w:val="Tabletext"/>
            </w:pPr>
            <w:r>
              <w:t>Материалы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19561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7C9C0E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7B9B8E" w14:textId="77777777" w:rsidR="00013E9F" w:rsidRPr="005230AE" w:rsidRDefault="00013E9F">
            <w:pPr>
              <w:pStyle w:val="Tabletext"/>
            </w:pPr>
            <w:r>
              <w:t>Поставщики</w:t>
            </w:r>
          </w:p>
        </w:tc>
      </w:tr>
    </w:tbl>
    <w:p w14:paraId="25ABB0E1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28DDF44F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6AD651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50C8D9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DA05FA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C81567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1774CE35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4A9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B50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3CBC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50D075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FDEF549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AA83A1F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717952D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C2DBF4" w14:textId="77777777" w:rsidR="00013E9F" w:rsidRPr="005230AE" w:rsidRDefault="00013E9F" w:rsidP="006679FA">
            <w:pPr>
              <w:pStyle w:val="Tabletext"/>
            </w:pPr>
            <w:r>
              <w:t>Акт о списании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7CFC2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E330B2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BD021AA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16EB08DA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CA760D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1FB2CD" w14:textId="77777777" w:rsidR="00013E9F" w:rsidRPr="005230AE" w:rsidRDefault="00013E9F" w:rsidP="006679FA">
            <w:pPr>
              <w:pStyle w:val="Tabletext"/>
            </w:pPr>
            <w:r>
              <w:t>Исходящая счёт-фактура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1B59C3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4F47EA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8686B7" w14:textId="77777777" w:rsidR="00013E9F" w:rsidRPr="005230AE" w:rsidRDefault="00013E9F" w:rsidP="006679FA">
            <w:pPr>
              <w:pStyle w:val="Tabletext"/>
            </w:pPr>
            <w:r>
              <w:t>Внешний получатель</w:t>
            </w:r>
          </w:p>
        </w:tc>
      </w:tr>
      <w:tr w:rsidR="00013E9F" w:rsidRPr="005230AE" w14:paraId="1A7D717C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BF5C1A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3D212C" w14:textId="77777777" w:rsidR="00013E9F" w:rsidRPr="005230AE" w:rsidRDefault="00013E9F" w:rsidP="006679FA">
            <w:pPr>
              <w:pStyle w:val="Tabletext"/>
            </w:pPr>
            <w:r>
              <w:t>Перечень материалов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2E52A7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2596F3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1CD0A8" w14:textId="77777777" w:rsidR="00013E9F" w:rsidRPr="005230AE" w:rsidRDefault="00013E9F" w:rsidP="006679FA">
            <w:pPr>
              <w:pStyle w:val="Tabletext"/>
            </w:pPr>
            <w:r>
              <w:t>Внешний получатель</w:t>
            </w:r>
          </w:p>
        </w:tc>
      </w:tr>
    </w:tbl>
    <w:p w14:paraId="59775B37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791466F2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2F33D8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88C10C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6C66A1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9A9FB2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474EBD59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4E1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E1A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B635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F3C52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CDE4D78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3F6F3DDF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2C2E77C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3745F4" w14:textId="77777777"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838D8A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D9B031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48FF19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29A55B0C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7017264E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A2965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36DEC7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B160DF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8228A0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324575F7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7BC4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EABE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F3B0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07C094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F73A31E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7EB66C91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CB43D2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F5A6E1" w14:textId="77777777" w:rsidR="00013E9F" w:rsidRPr="005230AE" w:rsidRDefault="00013E9F" w:rsidP="006679FA">
            <w:pPr>
              <w:pStyle w:val="Tabletext"/>
            </w:pPr>
            <w:r>
              <w:t>Бухгалтерия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0FEC8B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F24C10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5CEB29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6C838E2F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6FED5D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F1D7D5" w14:textId="77777777" w:rsidR="00013E9F" w:rsidRPr="005230AE" w:rsidRDefault="00013E9F" w:rsidP="006679FA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F1F86B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D40C3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E68B88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0DF2A09B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33B8BD3B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300813C8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40EB9F58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2A4CDBF2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619E98BF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1C56BC51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46833C9A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7553478F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51405FBE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2DA5D7A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4E4F4DD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536A8DC5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39CD95C9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1EF803FB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2BBD845C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208B7E89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228221B1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3634DB47" w14:textId="77777777" w:rsidTr="00EF53C8">
        <w:tc>
          <w:tcPr>
            <w:tcW w:w="216" w:type="pct"/>
            <w:vMerge w:val="restart"/>
          </w:tcPr>
          <w:p w14:paraId="16ED2500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22B121C8" w14:textId="77777777" w:rsidR="004A510A" w:rsidRPr="005230AE" w:rsidRDefault="004A510A" w:rsidP="00143E74">
            <w:pPr>
              <w:pStyle w:val="Tabletext"/>
            </w:pPr>
            <w:r>
              <w:t>A1 Поступление материалов</w:t>
            </w:r>
          </w:p>
        </w:tc>
        <w:tc>
          <w:tcPr>
            <w:tcW w:w="555" w:type="pct"/>
            <w:vMerge w:val="restart"/>
          </w:tcPr>
          <w:p w14:paraId="0069B2A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71F75E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9F4FAAF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641F168" w14:textId="77777777" w:rsidR="004A510A" w:rsidRPr="005230AE" w:rsidRDefault="004A510A" w:rsidP="00143E74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</w:tcPr>
          <w:p w14:paraId="2AD6D07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E091D9C" w14:textId="77777777" w:rsidR="004A510A" w:rsidRPr="005230AE" w:rsidRDefault="004A510A" w:rsidP="00143E74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vMerge w:val="restart"/>
          </w:tcPr>
          <w:p w14:paraId="0EC1A71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DD95AEA" w14:textId="77777777" w:rsidTr="00EF53C8">
        <w:tc>
          <w:tcPr>
            <w:tcW w:w="216" w:type="pct"/>
            <w:vMerge/>
          </w:tcPr>
          <w:p w14:paraId="24CD012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7B2A84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BEFC8C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8F71BB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AF01580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7775A24B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76E00C6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C49DB7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8750F5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098CBFB" w14:textId="77777777" w:rsidTr="00EF53C8">
        <w:tc>
          <w:tcPr>
            <w:tcW w:w="216" w:type="pct"/>
            <w:vMerge/>
          </w:tcPr>
          <w:p w14:paraId="6681773B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FC8036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738432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4748E0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67A579F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2E8052DE" w14:textId="77777777" w:rsidR="004A510A" w:rsidRPr="005230AE" w:rsidRDefault="004A510A" w:rsidP="00143E74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602" w:type="pct"/>
          </w:tcPr>
          <w:p w14:paraId="0BF7DBE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EBBEAC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A2BE26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7FDAF82" w14:textId="77777777" w:rsidTr="00EF53C8">
        <w:tc>
          <w:tcPr>
            <w:tcW w:w="216" w:type="pct"/>
            <w:vMerge w:val="restart"/>
          </w:tcPr>
          <w:p w14:paraId="50D611C2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3F741472" w14:textId="77777777" w:rsidR="004A510A" w:rsidRPr="005230AE" w:rsidRDefault="004A510A" w:rsidP="00143E74">
            <w:pPr>
              <w:pStyle w:val="Tabletext"/>
            </w:pPr>
            <w:r>
              <w:t>A2 Перемещение материалов</w:t>
            </w:r>
          </w:p>
        </w:tc>
        <w:tc>
          <w:tcPr>
            <w:tcW w:w="555" w:type="pct"/>
            <w:vMerge w:val="restart"/>
          </w:tcPr>
          <w:p w14:paraId="6341328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73B57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A9BA50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6015E1D7" w14:textId="77777777" w:rsidR="004A510A" w:rsidRPr="005230AE" w:rsidRDefault="004A510A" w:rsidP="00143E74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</w:tcPr>
          <w:p w14:paraId="4285E41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258B871E" w14:textId="77777777" w:rsidR="004A510A" w:rsidRPr="005230AE" w:rsidRDefault="004A510A" w:rsidP="00143E74">
            <w:pPr>
              <w:pStyle w:val="Tabletext"/>
            </w:pPr>
            <w:r>
              <w:t>Журнал перемещений</w:t>
            </w:r>
          </w:p>
        </w:tc>
        <w:tc>
          <w:tcPr>
            <w:tcW w:w="615" w:type="pct"/>
          </w:tcPr>
          <w:p w14:paraId="74CB580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B288020" w14:textId="77777777" w:rsidTr="00EF53C8">
        <w:tc>
          <w:tcPr>
            <w:tcW w:w="216" w:type="pct"/>
            <w:vMerge/>
          </w:tcPr>
          <w:p w14:paraId="1A42DE7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25DB66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02B5D3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AA3F1F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E86EC58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925D4B8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2B5E6E2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60B3FFA4" w14:textId="77777777" w:rsidR="004A510A" w:rsidRPr="005230AE" w:rsidRDefault="004A510A" w:rsidP="00143E74">
            <w:pPr>
              <w:pStyle w:val="Tabletext"/>
            </w:pPr>
            <w:r>
              <w:t>Заявка на списание</w:t>
            </w:r>
          </w:p>
        </w:tc>
        <w:tc>
          <w:tcPr>
            <w:tcW w:w="615" w:type="pct"/>
          </w:tcPr>
          <w:p w14:paraId="746328F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B09BE3F" w14:textId="77777777" w:rsidTr="00EF53C8">
        <w:tc>
          <w:tcPr>
            <w:tcW w:w="216" w:type="pct"/>
            <w:vMerge/>
          </w:tcPr>
          <w:p w14:paraId="7BC81C2B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6EDA7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650880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A7ED58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ED247E0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41C4042" w14:textId="77777777" w:rsidR="004A510A" w:rsidRPr="005230AE" w:rsidRDefault="004A510A" w:rsidP="00143E74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602" w:type="pct"/>
          </w:tcPr>
          <w:p w14:paraId="1AD9DC6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32E90647" w14:textId="77777777" w:rsidR="004A510A" w:rsidRPr="005230AE" w:rsidRDefault="004A510A" w:rsidP="00143E74">
            <w:pPr>
              <w:pStyle w:val="Tabletext"/>
            </w:pPr>
            <w:r>
              <w:t>Накладная</w:t>
            </w:r>
          </w:p>
        </w:tc>
        <w:tc>
          <w:tcPr>
            <w:tcW w:w="615" w:type="pct"/>
          </w:tcPr>
          <w:p w14:paraId="30A2A7B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80F95FD" w14:textId="77777777" w:rsidTr="00EF53C8">
        <w:tc>
          <w:tcPr>
            <w:tcW w:w="216" w:type="pct"/>
            <w:vMerge w:val="restart"/>
          </w:tcPr>
          <w:p w14:paraId="6FD466C1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4276DB4C" w14:textId="77777777" w:rsidR="004A510A" w:rsidRPr="005230AE" w:rsidRDefault="004A510A" w:rsidP="00143E74">
            <w:pPr>
              <w:pStyle w:val="Tabletext"/>
            </w:pPr>
            <w:r>
              <w:t>A3 Согласование документов</w:t>
            </w:r>
          </w:p>
        </w:tc>
        <w:tc>
          <w:tcPr>
            <w:tcW w:w="555" w:type="pct"/>
            <w:vMerge w:val="restart"/>
          </w:tcPr>
          <w:p w14:paraId="64C7BCB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D9F849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4BAF1D2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17FD4745" w14:textId="77777777" w:rsidR="004A510A" w:rsidRPr="005230AE" w:rsidRDefault="004A510A" w:rsidP="00143E74">
            <w:pPr>
              <w:pStyle w:val="Tabletext"/>
            </w:pPr>
            <w:r>
              <w:t>Журнал перемещений</w:t>
            </w:r>
          </w:p>
        </w:tc>
        <w:tc>
          <w:tcPr>
            <w:tcW w:w="602" w:type="pct"/>
          </w:tcPr>
          <w:p w14:paraId="6AA3D21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9BFCD1E" w14:textId="77777777" w:rsidR="004A510A" w:rsidRPr="005230AE" w:rsidRDefault="004A510A" w:rsidP="00143E74">
            <w:pPr>
              <w:pStyle w:val="Tabletext"/>
            </w:pPr>
            <w:r>
              <w:t>Согласованная заявка</w:t>
            </w:r>
          </w:p>
        </w:tc>
        <w:tc>
          <w:tcPr>
            <w:tcW w:w="615" w:type="pct"/>
            <w:vMerge w:val="restart"/>
          </w:tcPr>
          <w:p w14:paraId="3E2CCF0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6ABEB40" w14:textId="77777777" w:rsidTr="00EF53C8">
        <w:tc>
          <w:tcPr>
            <w:tcW w:w="216" w:type="pct"/>
            <w:vMerge/>
          </w:tcPr>
          <w:p w14:paraId="68F9DF3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4F4B4F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AD04BB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3F5845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6CE30E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5DA263AD" w14:textId="77777777" w:rsidR="004A510A" w:rsidRPr="005230AE" w:rsidRDefault="004A510A" w:rsidP="00143E74">
            <w:pPr>
              <w:pStyle w:val="Tabletext"/>
            </w:pPr>
            <w:r>
              <w:t>Заявка на заказ</w:t>
            </w:r>
          </w:p>
        </w:tc>
        <w:tc>
          <w:tcPr>
            <w:tcW w:w="602" w:type="pct"/>
          </w:tcPr>
          <w:p w14:paraId="39D6D39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17F34D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81B342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BA69F2C" w14:textId="77777777" w:rsidTr="00EF53C8">
        <w:tc>
          <w:tcPr>
            <w:tcW w:w="216" w:type="pct"/>
            <w:vMerge/>
          </w:tcPr>
          <w:p w14:paraId="5C6CAEA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0745DC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B3E39B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D38F1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4C989B4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1589A479" w14:textId="77777777" w:rsidR="004A510A" w:rsidRPr="005230AE" w:rsidRDefault="004A510A" w:rsidP="00143E74">
            <w:pPr>
              <w:pStyle w:val="Tabletext"/>
            </w:pPr>
            <w:r>
              <w:t>Накладная</w:t>
            </w:r>
          </w:p>
        </w:tc>
        <w:tc>
          <w:tcPr>
            <w:tcW w:w="602" w:type="pct"/>
          </w:tcPr>
          <w:p w14:paraId="5C7779D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E8A1CA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37ADE1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AB68B47" w14:textId="77777777" w:rsidTr="00EF53C8">
        <w:tc>
          <w:tcPr>
            <w:tcW w:w="216" w:type="pct"/>
            <w:vMerge/>
          </w:tcPr>
          <w:p w14:paraId="2235492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143514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E91E5E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E2E02A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62950F5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A13A424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1E8CCA7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A3F81A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15DE8B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C9DDF2A" w14:textId="77777777" w:rsidTr="00EF53C8">
        <w:tc>
          <w:tcPr>
            <w:tcW w:w="216" w:type="pct"/>
            <w:vMerge/>
          </w:tcPr>
          <w:p w14:paraId="2809FCD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236442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6E0BFB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728AB5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E43430F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57097B3" w14:textId="77777777" w:rsidR="004A510A" w:rsidRPr="005230AE" w:rsidRDefault="004A510A" w:rsidP="00143E74">
            <w:pPr>
              <w:pStyle w:val="Tabletext"/>
            </w:pPr>
            <w:r>
              <w:t>Бухгалтерия</w:t>
            </w:r>
          </w:p>
        </w:tc>
        <w:tc>
          <w:tcPr>
            <w:tcW w:w="602" w:type="pct"/>
          </w:tcPr>
          <w:p w14:paraId="7B78949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5BE9CB6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32D518A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E21EFCB" w14:textId="77777777" w:rsidTr="00EF53C8">
        <w:tc>
          <w:tcPr>
            <w:tcW w:w="216" w:type="pct"/>
            <w:vMerge w:val="restart"/>
          </w:tcPr>
          <w:p w14:paraId="7F874BC2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04725B46" w14:textId="77777777" w:rsidR="004A510A" w:rsidRPr="005230AE" w:rsidRDefault="004A510A" w:rsidP="00143E74">
            <w:pPr>
              <w:pStyle w:val="Tabletext"/>
            </w:pPr>
            <w:r>
              <w:t>A4 Выдача материалов внешнему получателю</w:t>
            </w:r>
          </w:p>
        </w:tc>
        <w:tc>
          <w:tcPr>
            <w:tcW w:w="555" w:type="pct"/>
            <w:vMerge w:val="restart"/>
          </w:tcPr>
          <w:p w14:paraId="3224416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3EDF65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B1147D8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0FDFF2F" w14:textId="77777777" w:rsidR="004A510A" w:rsidRPr="005230AE" w:rsidRDefault="004A510A" w:rsidP="00143E74">
            <w:pPr>
              <w:pStyle w:val="Tabletext"/>
            </w:pPr>
            <w:r>
              <w:t>Согласованная заявка</w:t>
            </w:r>
          </w:p>
        </w:tc>
        <w:tc>
          <w:tcPr>
            <w:tcW w:w="602" w:type="pct"/>
          </w:tcPr>
          <w:p w14:paraId="5B33A67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6786B8FD" w14:textId="77777777" w:rsidR="004A510A" w:rsidRPr="005230AE" w:rsidRDefault="004A510A" w:rsidP="00143E74">
            <w:pPr>
              <w:pStyle w:val="Tabletext"/>
            </w:pPr>
            <w:r>
              <w:t>Исходящая счёт-фактура</w:t>
            </w:r>
          </w:p>
        </w:tc>
        <w:tc>
          <w:tcPr>
            <w:tcW w:w="615" w:type="pct"/>
          </w:tcPr>
          <w:p w14:paraId="3673A8D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6A6996C" w14:textId="77777777" w:rsidTr="00EF53C8">
        <w:tc>
          <w:tcPr>
            <w:tcW w:w="216" w:type="pct"/>
            <w:vMerge/>
          </w:tcPr>
          <w:p w14:paraId="46F8F97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88819D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853F00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72BE26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9989919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6E364991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33B138B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30D878E7" w14:textId="77777777" w:rsidR="004A510A" w:rsidRPr="005230AE" w:rsidRDefault="004A510A" w:rsidP="00143E74">
            <w:pPr>
              <w:pStyle w:val="Tabletext"/>
            </w:pPr>
            <w:r>
              <w:t>Перечень материалов</w:t>
            </w:r>
          </w:p>
        </w:tc>
        <w:tc>
          <w:tcPr>
            <w:tcW w:w="615" w:type="pct"/>
            <w:vMerge w:val="restart"/>
          </w:tcPr>
          <w:p w14:paraId="7BA2FBE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A9FCE2E" w14:textId="77777777" w:rsidTr="00EF53C8">
        <w:tc>
          <w:tcPr>
            <w:tcW w:w="216" w:type="pct"/>
            <w:vMerge/>
          </w:tcPr>
          <w:p w14:paraId="3058893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F95F48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6D2B33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C31119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17D20A2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859989A" w14:textId="77777777" w:rsidR="004A510A" w:rsidRPr="005230AE" w:rsidRDefault="004A510A" w:rsidP="00143E74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602" w:type="pct"/>
          </w:tcPr>
          <w:p w14:paraId="00403D2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B77395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7DFAA9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CCF51C9" w14:textId="77777777" w:rsidTr="00EF53C8">
        <w:tc>
          <w:tcPr>
            <w:tcW w:w="216" w:type="pct"/>
            <w:vMerge w:val="restart"/>
          </w:tcPr>
          <w:p w14:paraId="2FB56918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5D8D81E7" w14:textId="77777777" w:rsidR="004A510A" w:rsidRPr="005230AE" w:rsidRDefault="004A510A" w:rsidP="00143E74">
            <w:pPr>
              <w:pStyle w:val="Tabletext"/>
            </w:pPr>
            <w:r>
              <w:t>A5 Списание материалов в убытки</w:t>
            </w:r>
          </w:p>
        </w:tc>
        <w:tc>
          <w:tcPr>
            <w:tcW w:w="555" w:type="pct"/>
            <w:vMerge w:val="restart"/>
          </w:tcPr>
          <w:p w14:paraId="18BD600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41894C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E0F5ECC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1EB471CE" w14:textId="77777777" w:rsidR="004A510A" w:rsidRPr="005230AE" w:rsidRDefault="004A510A" w:rsidP="00143E74">
            <w:pPr>
              <w:pStyle w:val="Tabletext"/>
            </w:pPr>
            <w:r>
              <w:t>Заявка на списание</w:t>
            </w:r>
          </w:p>
        </w:tc>
        <w:tc>
          <w:tcPr>
            <w:tcW w:w="602" w:type="pct"/>
          </w:tcPr>
          <w:p w14:paraId="0B7EC06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18A91893" w14:textId="77777777" w:rsidR="004A510A" w:rsidRPr="005230AE" w:rsidRDefault="004A510A" w:rsidP="00143E74">
            <w:pPr>
              <w:pStyle w:val="Tabletext"/>
            </w:pPr>
            <w:r>
              <w:t>Акт о списании</w:t>
            </w:r>
          </w:p>
        </w:tc>
        <w:tc>
          <w:tcPr>
            <w:tcW w:w="615" w:type="pct"/>
            <w:vMerge w:val="restart"/>
          </w:tcPr>
          <w:p w14:paraId="2A20865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59E7EBA" w14:textId="77777777" w:rsidTr="00EF53C8">
        <w:tc>
          <w:tcPr>
            <w:tcW w:w="216" w:type="pct"/>
            <w:vMerge/>
          </w:tcPr>
          <w:p w14:paraId="7881681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783B6B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3055B5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F8D7EF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24D3861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0778A8F3" w14:textId="77777777" w:rsidR="004A510A" w:rsidRPr="005230AE" w:rsidRDefault="004A510A" w:rsidP="00143E74">
            <w:pPr>
              <w:pStyle w:val="Tabletext"/>
            </w:pPr>
            <w:r>
              <w:t xml:space="preserve">Гражданский </w:t>
            </w:r>
            <w:r>
              <w:lastRenderedPageBreak/>
              <w:t>кодекс</w:t>
            </w:r>
          </w:p>
        </w:tc>
        <w:tc>
          <w:tcPr>
            <w:tcW w:w="602" w:type="pct"/>
          </w:tcPr>
          <w:p w14:paraId="3AF61F3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F191A0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108B1E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6A5334D" w14:textId="77777777" w:rsidTr="00EF53C8">
        <w:tc>
          <w:tcPr>
            <w:tcW w:w="216" w:type="pct"/>
            <w:vMerge/>
          </w:tcPr>
          <w:p w14:paraId="3C70972A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4663E7D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1C13AA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CF410E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A3A4264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5811F5A1" w14:textId="77777777" w:rsidR="004A510A" w:rsidRPr="005230AE" w:rsidRDefault="004A510A" w:rsidP="00143E74">
            <w:pPr>
              <w:pStyle w:val="Tabletext"/>
            </w:pPr>
            <w:r>
              <w:t>Менеджер контроля материалов</w:t>
            </w:r>
          </w:p>
        </w:tc>
        <w:tc>
          <w:tcPr>
            <w:tcW w:w="602" w:type="pct"/>
          </w:tcPr>
          <w:p w14:paraId="440912A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B1C8EF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1A589D4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4AADEE09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9F3F" w14:textId="77777777" w:rsidR="009E6C5E" w:rsidRDefault="009E6C5E" w:rsidP="00C46DB9">
      <w:pPr>
        <w:spacing w:after="0"/>
      </w:pPr>
      <w:r>
        <w:separator/>
      </w:r>
    </w:p>
  </w:endnote>
  <w:endnote w:type="continuationSeparator" w:id="0">
    <w:p w14:paraId="7D5478B9" w14:textId="77777777" w:rsidR="009E6C5E" w:rsidRDefault="009E6C5E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3FF01E4A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883A727" w14:textId="5F14E3F4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00552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EA740A">
            <w:rPr>
              <w:rFonts w:cs="Arial"/>
              <w:noProof/>
              <w:sz w:val="18"/>
              <w:szCs w:val="16"/>
              <w:lang w:eastAsia="en-US"/>
            </w:rPr>
            <w:t>A0 Учёт материалов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DB04FC0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9C6D6CB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AFE0" w14:textId="77777777" w:rsidR="009E6C5E" w:rsidRDefault="009E6C5E" w:rsidP="00C46DB9">
      <w:pPr>
        <w:spacing w:after="0"/>
      </w:pPr>
      <w:r>
        <w:separator/>
      </w:r>
    </w:p>
  </w:footnote>
  <w:footnote w:type="continuationSeparator" w:id="0">
    <w:p w14:paraId="054C05C4" w14:textId="77777777" w:rsidR="009E6C5E" w:rsidRDefault="009E6C5E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CDFE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d4e6995d-3366-4549-a44b-816d8f81d498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Учёт материалов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0552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C5E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40A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954C25"/>
  <w15:docId w15:val="{78619E3B-CE9C-4BE5-BBEF-BA1E4064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</Words>
  <Characters>1562</Characters>
  <Application>Microsoft Office Word</Application>
  <DocSecurity>0</DocSecurity>
  <Lines>390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Учёт материалов</dc:title>
  <dc:subject>'A0 Учёт материалов'</dc:subject>
  <dc:creator>ГК "СТУ"</dc:creator>
  <cp:keywords>Business Studio</cp:keywords>
  <dc:description/>
  <cp:lastModifiedBy>215-8</cp:lastModifiedBy>
  <cp:revision>1</cp:revision>
  <dcterms:created xsi:type="dcterms:W3CDTF">2023-11-02T04:48:00Z</dcterms:created>
  <dcterms:modified xsi:type="dcterms:W3CDTF">2023-11-02T04:48:00Z</dcterms:modified>
</cp:coreProperties>
</file>