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Heading</w:t>
      </w:r>
    </w:p>
    <w:p>
      <w:r>
        <w:rPr>
          <w:b/>
        </w:rPr>
        <w:t>Alpha paragraph for search.</w:t>
      </w:r>
    </w:p>
    <w:p/>
    <w:p>
      <w:r>
        <w:t>Supplier shall deliver by Friday.</w:t>
      </w:r>
    </w:p>
    <w:p>
      <w:r>
        <w:t>Timeline checkpoint: confirm rollout owners by Wednesday.</w:t>
      </w:r>
    </w:p>
    <w:p>
      <w:r>
        <w:t>Architecture note: preserve versioned writes for edited documents.</w:t>
      </w:r>
    </w:p>
    <w:p>
      <w:r>
        <w:t>Risk review: stale locators must fail safely.</w:t>
      </w:r>
    </w:p>
    <w:p>
      <w:r>
        <w:t>Acceptance note: JSON output should contain machine-readable fields.</w:t>
      </w:r>
    </w:p>
    <w:p>
      <w:r>
        <w:t>Security note: path guards must reject traversal outside allowed roots.</w:t>
      </w:r>
    </w:p>
    <w:p>
      <w:r>
        <w:t>Operations note: quiet mode suppresses successful narration.</w:t>
      </w:r>
    </w:p>
    <w:p>
      <w:r>
        <w:t>Closing paragraph for deterministic corpus coverage.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