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s-MX" w:eastAsia="en-US" w:bidi="ar-SA"/>
        </w:rPr>
      </w:pPr>
      <w:r>
        <w:rPr>
          <w:lang w:val="es-MX" w:eastAsia="en-US" w:bidi="ar-SA"/>
        </w:rPr>
        <w:drawing>
          <wp:inline distT="0" distB="0" distL="0" distR="0">
            <wp:extent cx="3391535" cy="1426210"/>
            <wp:effectExtent l="0" t="0" r="0" b="0"/>
            <wp:docPr id="1" name="Picture 1" descr="Logotipos - Facultad de Arquitectura UA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ipos - Facultad de Arquitectura UANL"/>
                    <pic:cNvPicPr>
                      <a:picLocks noChangeAspect="1" noChangeArrowheads="1"/>
                    </pic:cNvPicPr>
                  </pic:nvPicPr>
                  <pic:blipFill>
                    <a:blip r:embed="rId2"/>
                    <a:stretch>
                      <a:fillRect/>
                    </a:stretch>
                  </pic:blipFill>
                  <pic:spPr bwMode="auto">
                    <a:xfrm>
                      <a:off x="0" y="0"/>
                      <a:ext cx="3391535" cy="1426210"/>
                    </a:xfrm>
                    <a:prstGeom prst="rect">
                      <a:avLst/>
                    </a:prstGeom>
                    <a:noFill/>
                  </pic:spPr>
                </pic:pic>
              </a:graphicData>
            </a:graphic>
          </wp:inline>
        </w:drawing>
      </w:r>
      <w:r>
        <w:rPr>
          <w:lang w:val="es-MX" w:eastAsia="en-US" w:bidi="ar-SA"/>
        </w:rPr>
        <w:t xml:space="preserve">                       </w:t>
      </w:r>
      <w:r>
        <w:rPr>
          <w:lang w:val="es-MX" w:eastAsia="en-US" w:bidi="ar-SA"/>
        </w:rPr>
        <w:drawing>
          <wp:inline distT="0" distB="0" distL="0" distR="0">
            <wp:extent cx="1495425" cy="1495425"/>
            <wp:effectExtent l="0" t="0" r="0" b="0"/>
            <wp:docPr id="2" name="Picture 2" descr="FCFMUANL (@FCFMUANL)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CFMUANL (@FCFMUANL) / X"/>
                    <pic:cNvPicPr>
                      <a:picLocks noChangeAspect="1" noChangeArrowheads="1"/>
                    </pic:cNvPicPr>
                  </pic:nvPicPr>
                  <pic:blipFill>
                    <a:blip r:embed="rId3"/>
                    <a:stretch>
                      <a:fillRect/>
                    </a:stretch>
                  </pic:blipFill>
                  <pic:spPr bwMode="auto">
                    <a:xfrm>
                      <a:off x="0" y="0"/>
                      <a:ext cx="1495425" cy="1495425"/>
                    </a:xfrm>
                    <a:prstGeom prst="rect">
                      <a:avLst/>
                    </a:prstGeom>
                    <a:noFill/>
                  </pic:spPr>
                </pic:pic>
              </a:graphicData>
            </a:graphic>
          </wp:inline>
        </w:drawing>
      </w:r>
      <w:r>
        <w:rPr>
          <w:lang w:val="es-MX" w:eastAsia="en-US" w:bidi="ar-SA"/>
        </w:rPr>
        <w:t xml:space="preserve">          </w:t>
      </w:r>
    </w:p>
    <w:p>
      <w:pPr>
        <w:pStyle w:val="Normal"/>
        <w:jc w:val="center"/>
        <w:rPr>
          <w:rFonts w:ascii="Calibri" w:hAnsi="Calibri"/>
          <w:b/>
          <w:bCs/>
          <w:sz w:val="36"/>
          <w:szCs w:val="36"/>
          <w:lang w:val="es-MX" w:eastAsia="en-US" w:bidi="ar-SA"/>
        </w:rPr>
      </w:pPr>
      <w:r>
        <w:rPr>
          <w:b/>
          <w:bCs/>
          <w:sz w:val="36"/>
          <w:szCs w:val="36"/>
          <w:lang w:val="es-MX" w:eastAsia="en-US" w:bidi="ar-SA"/>
        </w:rPr>
      </w:r>
    </w:p>
    <w:p>
      <w:pPr>
        <w:pStyle w:val="Normal"/>
        <w:jc w:val="center"/>
        <w:rPr>
          <w:lang w:val="es-MX" w:eastAsia="en-US" w:bidi="ar-SA"/>
        </w:rPr>
      </w:pPr>
      <w:r>
        <w:rPr>
          <w:b/>
          <w:bCs/>
          <w:sz w:val="28"/>
          <w:szCs w:val="28"/>
          <w:lang w:val="es-MX" w:eastAsia="en-US" w:bidi="ar-SA"/>
        </w:rPr>
        <w:t>Análisis Numérico</w:t>
      </w:r>
    </w:p>
    <w:p>
      <w:pPr>
        <w:pStyle w:val="Normal"/>
        <w:jc w:val="center"/>
        <w:rPr>
          <w:lang w:val="es-MX" w:eastAsia="en-US" w:bidi="ar-SA"/>
        </w:rPr>
      </w:pPr>
      <w:r>
        <w:rPr>
          <w:b/>
          <w:bCs/>
          <w:sz w:val="28"/>
          <w:szCs w:val="28"/>
          <w:lang w:val="es-MX" w:eastAsia="en-US" w:bidi="ar-SA"/>
        </w:rPr>
        <w:t>M.A. Maria Del Carmen Martínez Cejudo</w:t>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lang w:val="es-MX" w:eastAsia="en-US" w:bidi="ar-SA"/>
        </w:rPr>
      </w:pPr>
      <w:r>
        <w:rPr>
          <w:b/>
          <w:bCs/>
          <w:sz w:val="28"/>
          <w:szCs w:val="28"/>
          <w:lang w:val="es-MX" w:eastAsia="en-US" w:bidi="ar-SA"/>
        </w:rPr>
        <w:t xml:space="preserve">Proyecto </w:t>
      </w:r>
      <w:r>
        <w:rPr>
          <w:b/>
          <w:bCs/>
          <w:sz w:val="28"/>
          <w:szCs w:val="28"/>
          <w:lang w:val="es-MX" w:eastAsia="en-US" w:bidi="ar-SA"/>
        </w:rPr>
        <w:t>2 Bisección</w:t>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lang w:val="es-MX" w:eastAsia="en-US" w:bidi="ar-SA"/>
        </w:rPr>
      </w:pPr>
      <w:r>
        <w:rPr>
          <w:b/>
          <w:bCs/>
          <w:sz w:val="28"/>
          <w:szCs w:val="28"/>
          <w:lang w:val="es-MX" w:eastAsia="en-US" w:bidi="ar-SA"/>
        </w:rPr>
        <w:t>Sebastian Calderón Carrillo 2087472</w:t>
      </w:r>
    </w:p>
    <w:p>
      <w:pPr>
        <w:pStyle w:val="Normal"/>
        <w:jc w:val="center"/>
        <w:rPr>
          <w:rFonts w:ascii="Calibri" w:hAnsi="Calibri"/>
          <w:b/>
          <w:bCs/>
          <w:sz w:val="28"/>
          <w:szCs w:val="28"/>
          <w:lang w:val="es-MX" w:eastAsia="en-US" w:bidi="ar-SA"/>
        </w:rPr>
      </w:pPr>
      <w:r>
        <w:rPr>
          <w:b/>
          <w:bCs/>
          <w:sz w:val="28"/>
          <w:szCs w:val="28"/>
          <w:lang w:val="es-MX" w:eastAsia="en-US" w:bidi="ar-SA"/>
        </w:rPr>
        <w:t>Edson Armando Amaya Macias 2151976</w:t>
      </w:r>
    </w:p>
    <w:p>
      <w:pPr>
        <w:pStyle w:val="Normal"/>
        <w:jc w:val="center"/>
        <w:rPr>
          <w:rFonts w:ascii="Calibri" w:hAnsi="Calibri"/>
          <w:b/>
          <w:bCs/>
          <w:sz w:val="28"/>
          <w:szCs w:val="28"/>
          <w:lang w:val="es-MX" w:eastAsia="en-US" w:bidi="ar-SA"/>
        </w:rPr>
      </w:pPr>
      <w:r>
        <w:rPr>
          <w:b/>
          <w:bCs/>
          <w:sz w:val="28"/>
          <w:szCs w:val="28"/>
          <w:lang w:val="es-MX" w:eastAsia="en-US" w:bidi="ar-SA"/>
        </w:rPr>
      </w:r>
    </w:p>
    <w:p>
      <w:pPr>
        <w:pStyle w:val="Normal"/>
        <w:jc w:val="center"/>
        <w:rPr>
          <w:lang w:val="es-MX" w:eastAsia="en-US" w:bidi="ar-SA"/>
        </w:rPr>
      </w:pPr>
      <w:r>
        <w:rPr>
          <w:b/>
          <w:bCs/>
          <w:sz w:val="28"/>
          <w:szCs w:val="28"/>
          <w:lang w:val="es-MX" w:eastAsia="en-US" w:bidi="ar-SA"/>
        </w:rPr>
        <w:t>Grupo 031</w:t>
      </w:r>
    </w:p>
    <w:p>
      <w:pPr>
        <w:pStyle w:val="Normal"/>
        <w:rPr>
          <w:lang w:val="es-MX" w:eastAsia="en-US" w:bidi="ar-SA"/>
        </w:rPr>
      </w:pPr>
      <w:r>
        <w:rPr>
          <w:b/>
          <w:bCs/>
          <w:sz w:val="32"/>
          <w:szCs w:val="32"/>
          <w:lang w:val="es-MX" w:eastAsia="en-US" w:bidi="ar-SA"/>
        </w:rPr>
        <w:t>Introducción</w:t>
      </w:r>
    </w:p>
    <w:p>
      <w:pPr>
        <w:pStyle w:val="Normal"/>
        <w:rPr>
          <w:lang w:val="es-MX" w:eastAsia="en-US" w:bidi="ar-SA"/>
        </w:rPr>
      </w:pPr>
      <w:r>
        <w:rPr>
          <w:sz w:val="22"/>
          <w:szCs w:val="22"/>
          <w:lang w:val="es-MX" w:eastAsia="en-US" w:bidi="ar-SA"/>
        </w:rPr>
        <w:t>El método de Montante, también conocido como algoritmo de Bareiss, es una variante de la eliminación gaussiana que permite resolver sistemas de ecuaciones lineales, así como calcular el determinante, la matriz adjunta y la matriz inversa de una matriz cuadrada, utilizando aritmética exacta con fracciones. A diferencia de la eliminación gaussiana tradicional, en cada etapa el resultado de las operaciones se divide entre el pivote de la etapa anterior, lo que evita la acumulación de errores de redondeo propios de la aritmética en punto flotante. El determinante se obtiene directamente del último pivote calculado, la adjunta se construye a partir de la traspuesta de la matriz de cofactores (cada uno como el determinante de la submatriz menor correspondiente) y la inversa se calcula dividiendo la adjunta entre el determinante.</w:t>
      </w:r>
    </w:p>
    <w:p>
      <w:pPr>
        <w:pStyle w:val="Normal"/>
        <w:rPr>
          <w:rFonts w:ascii="Calibri" w:hAnsi="Calibri"/>
          <w:sz w:val="22"/>
          <w:szCs w:val="22"/>
          <w:lang w:val="es-MX" w:eastAsia="en-US" w:bidi="ar-SA"/>
        </w:rPr>
      </w:pPr>
      <w:r>
        <w:rPr>
          <w:sz w:val="22"/>
          <w:szCs w:val="22"/>
          <w:lang w:val="es-MX" w:eastAsia="en-US" w:bidi="ar-SA"/>
        </w:rPr>
      </w:r>
    </w:p>
    <w:p>
      <w:pPr>
        <w:pStyle w:val="Normal"/>
        <w:rPr>
          <w:lang w:val="es-MX" w:eastAsia="en-US" w:bidi="ar-SA"/>
        </w:rPr>
      </w:pPr>
      <w:r>
        <w:rPr>
          <w:sz w:val="22"/>
          <w:szCs w:val="22"/>
          <w:lang w:val="es-MX" w:eastAsia="en-US" w:bidi="ar-SA"/>
        </w:rPr>
        <w:t>Para la implementación en Python se dividió el proyecto en módulos con responsabilidades separadas: modules/montante.py concentra la lógica matemática (eliminación de Montante, determinante, adjunta, inversa y verificación de solvencia), modules/utils.py se encarga de la validación y lectura de datos por consola, y modules/menu.py implementa el menú interactivo que conecta ambos módulos. Como decisión de diseño clave, todos los valores numéricos se manejan con el tipo Fraction de la librería estándar en lugar de float, de modo que los resultados se mantienen exactos durante todo el proceso. El núcleo del programa es la función eliminacion_montante, que aplica la fórmula recursiva del método (a_ij = (pivote·a_ij − a_ik·a_kj) / pivote_anterior) sobre la matriz aumentada, apoyada en una búsqueda de pivote que intercambia filas cuando el elemento de la diagonal es cero. A partir de esa base se construyeron determinante (controlando además el cambio de signo al intercambiar filas), resolver_sistema (que arma la matriz aumentada y divide la última columna entre el pivote final) y, apoyándose en determinante, las funciones adjunta e inversa. Antes de resolver cualquier sistema, resoluble aplica el teorema de Rouché-Frobenius comparando rangos, de manera que el programa nunca intenta resolver un sistema incompatible o indeterminado. Toda la entrada del usuario se valida con manejo de excepciones en utils.py, pidiendo nuevamente el dato en caso de error.</w:t>
      </w:r>
    </w:p>
    <w:p>
      <w:pPr>
        <w:pStyle w:val="Normal"/>
        <w:rPr>
          <w:rFonts w:ascii="Calibri" w:hAnsi="Calibri"/>
          <w:sz w:val="24"/>
          <w:szCs w:val="24"/>
          <w:lang w:val="es-MX" w:eastAsia="en-US" w:bidi="ar-SA"/>
        </w:rPr>
      </w:pPr>
      <w:r>
        <w:rPr>
          <w:sz w:val="24"/>
          <w:szCs w:val="24"/>
          <w:lang w:val="es-MX" w:eastAsia="en-US" w:bidi="ar-SA"/>
        </w:rPr>
      </w:r>
    </w:p>
    <w:p>
      <w:pPr>
        <w:pStyle w:val="Normal"/>
        <w:spacing w:before="280" w:after="120"/>
        <w:rPr>
          <w:lang w:val="es-MX" w:eastAsia="en-US" w:bidi="ar-SA"/>
        </w:rPr>
      </w:pPr>
      <w:r>
        <w:rPr>
          <w:rFonts w:cs="Calibri"/>
          <w:b/>
          <w:color w:themeColor="text1" w:val="000000"/>
          <w:sz w:val="32"/>
          <w:lang w:val="es-MX" w:eastAsia="en-US" w:bidi="ar-SA"/>
        </w:rPr>
        <w:t>Codificación</w:t>
      </w:r>
    </w:p>
    <w:p>
      <w:pPr>
        <w:pStyle w:val="Normal"/>
        <w:spacing w:before="0" w:after="120"/>
        <w:rPr>
          <w:lang w:val="es-MX" w:eastAsia="en-US" w:bidi="ar-SA"/>
        </w:rPr>
      </w:pPr>
      <w:r>
        <w:rPr>
          <w:color w:val="282828"/>
          <w:lang w:val="es-MX" w:eastAsia="en-US" w:bidi="ar-SA"/>
        </w:rPr>
        <w:t>En esta sección se presentan y explican las capturas de pantalla de la lógica modular implementada en el código, destacando cómo el código traduce las propiedades matemáticas del método.</w:t>
      </w:r>
    </w:p>
    <w:p>
      <w:pPr>
        <w:pStyle w:val="Normal"/>
        <w:spacing w:before="0" w:after="120"/>
        <w:rPr>
          <w:rFonts w:ascii="Calibri" w:hAnsi="Calibri"/>
          <w:lang w:val="es-MX" w:eastAsia="en-US" w:bidi="ar-SA"/>
        </w:rPr>
      </w:pPr>
      <w:r>
        <w:rPr>
          <w:lang w:val="es-MX" w:eastAsia="en-US" w:bidi="ar-SA"/>
        </w:rPr>
      </w:r>
    </w:p>
    <w:p>
      <w:pPr>
        <w:pStyle w:val="Normal"/>
        <w:spacing w:before="200" w:after="80"/>
        <w:rPr>
          <w:lang w:val="es-MX" w:eastAsia="en-US" w:bidi="ar-SA"/>
        </w:rPr>
      </w:pPr>
      <w:r>
        <w:rPr>
          <w:b/>
          <w:color w:themeColor="text1" w:val="000000"/>
          <w:sz w:val="26"/>
          <w:lang w:val="es-MX" w:eastAsia="en-US" w:bidi="ar-SA"/>
        </w:rPr>
        <w:t>Eliminación Montante</w:t>
      </w:r>
    </w:p>
    <w:p>
      <w:pPr>
        <w:pStyle w:val="Normal"/>
        <w:spacing w:before="0" w:after="120"/>
        <w:rPr>
          <w:lang w:val="es-MX" w:eastAsia="en-US" w:bidi="ar-SA"/>
        </w:rPr>
      </w:pPr>
      <w:r>
        <w:rPr>
          <w:color w:val="282828"/>
          <w:lang w:val="es-MX" w:eastAsia="en-US" w:bidi="ar-SA"/>
        </w:rPr>
        <w:t>A continuación se observa la función encargada de ejecutar la pivotación completa en la matriz aumentada.</w:t>
      </w:r>
    </w:p>
    <w:p>
      <w:pPr>
        <w:pStyle w:val="Normal"/>
        <w:jc w:val="center"/>
        <w:rPr>
          <w:rFonts w:ascii="Calibri" w:hAnsi="Calibri"/>
          <w:lang w:val="es-MX" w:eastAsia="en-US" w:bidi="ar-SA"/>
        </w:rPr>
      </w:pPr>
      <w:r>
        <w:rPr>
          <w:lang w:val="es-MX" w:eastAsia="en-US" w:bidi="ar-SA"/>
        </w:rPr>
      </w:r>
    </w:p>
    <w:p>
      <w:pPr>
        <w:pStyle w:val="Normal"/>
        <w:spacing w:before="0" w:after="120"/>
        <w:rPr>
          <w:lang w:val="es-MX" w:eastAsia="en-US" w:bidi="ar-SA"/>
        </w:rPr>
      </w:pPr>
      <w:r>
        <w:rPr>
          <w:b/>
          <w:bCs/>
          <w:color w:val="282828"/>
          <w:sz w:val="26"/>
          <w:szCs w:val="26"/>
          <w:lang w:val="es-MX" w:eastAsia="en-US" w:bidi="ar-SA"/>
        </w:rPr>
        <w:t>Explicación</w:t>
      </w:r>
    </w:p>
    <w:p>
      <w:pPr>
        <w:pStyle w:val="Normal"/>
        <w:spacing w:before="0" w:after="120"/>
        <w:rPr>
          <w:lang w:val="es-MX" w:eastAsia="en-US" w:bidi="ar-SA"/>
        </w:rPr>
      </w:pPr>
      <w:r>
        <w:rPr>
          <w:color w:val="282828"/>
          <w:lang w:val="es-MX" w:eastAsia="en-US" w:bidi="ar-SA"/>
        </w:rPr>
        <w:t>La función realiza un ciclo externo sobre cada pivote k. Mantiene la variable “pivote_anterior” inicializada en 1. En cada iteración actualiza las celdas que no pertenecen a la fila o columna del pivote actual aplicando el determinante 2x2 y dividiendo estrictamente entre “pivote_anterior”, asegurando divisiones enteras exactas.</w:t>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200" w:after="80"/>
        <w:rPr>
          <w:lang w:val="es-MX" w:eastAsia="en-US" w:bidi="ar-SA"/>
        </w:rPr>
      </w:pPr>
      <w:r>
        <w:rPr>
          <w:b/>
          <w:color w:themeColor="text1" w:val="000000"/>
          <w:sz w:val="26"/>
          <w:lang w:val="es-MX" w:eastAsia="en-US" w:bidi="ar-SA"/>
        </w:rPr>
        <w:t xml:space="preserve">Cálculo del Determinante </w:t>
      </w:r>
    </w:p>
    <w:p>
      <w:pPr>
        <w:pStyle w:val="Normal"/>
        <w:spacing w:before="0" w:after="120"/>
        <w:rPr>
          <w:lang w:val="es-MX" w:eastAsia="en-US" w:bidi="ar-SA"/>
        </w:rPr>
      </w:pPr>
      <w:r>
        <w:rPr>
          <w:color w:val="282828"/>
          <w:lang w:val="es-MX" w:eastAsia="en-US" w:bidi="ar-SA"/>
        </w:rPr>
        <w:t>La siguiente captura muestra el cálculo optimizado del determinante mediante reducción Montante.</w:t>
      </w:r>
    </w:p>
    <w:p>
      <w:pPr>
        <w:pStyle w:val="Normal"/>
        <w:spacing w:before="0" w:after="120"/>
        <w:rPr>
          <w:rFonts w:ascii="Calibri" w:hAnsi="Calibri"/>
          <w:lang w:val="es-MX" w:eastAsia="en-US" w:bidi="ar-SA"/>
        </w:rPr>
      </w:pPr>
      <w:r>
        <w:rPr>
          <w:lang w:val="es-MX" w:eastAsia="en-US" w:bidi="ar-SA"/>
        </w:rPr>
      </w:r>
    </w:p>
    <w:p>
      <w:pPr>
        <w:pStyle w:val="Normal"/>
        <w:jc w:val="center"/>
        <w:rPr>
          <w:lang w:val="es-MX" w:eastAsia="en-US" w:bidi="ar-SA"/>
        </w:rPr>
      </w:pPr>
      <w:r>
        <w:rPr>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lang w:val="es-MX" w:eastAsia="en-US" w:bidi="ar-SA"/>
        </w:rPr>
      </w:pPr>
      <w:r>
        <w:rPr>
          <w:b/>
          <w:bCs/>
          <w:color w:val="282828"/>
          <w:sz w:val="26"/>
          <w:szCs w:val="26"/>
          <w:lang w:val="es-MX" w:eastAsia="en-US" w:bidi="ar-SA"/>
        </w:rPr>
        <w:t>Explicación</w:t>
      </w:r>
    </w:p>
    <w:p>
      <w:pPr>
        <w:pStyle w:val="Normal"/>
        <w:spacing w:before="0" w:after="120"/>
        <w:rPr>
          <w:lang w:val="es-MX" w:eastAsia="en-US" w:bidi="ar-SA"/>
        </w:rPr>
      </w:pPr>
      <w:r>
        <w:rPr>
          <w:color w:val="282828"/>
          <w:lang w:val="es-MX" w:eastAsia="en-US" w:bidi="ar-SA"/>
        </w:rPr>
        <w:t>A diferencia de la eliminación completa, solo se reduce la parte inferior de la matriz (submatriz triangular). El último elemento diagonal de la etapa n-1 multiplicada por el acumulador de `signo` (modificado en cada pivoteo con cambio de fila) entrega el determinante exacto.</w:t>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200" w:after="80"/>
        <w:rPr>
          <w:lang w:val="es-MX" w:eastAsia="en-US" w:bidi="ar-SA"/>
        </w:rPr>
      </w:pPr>
      <w:r>
        <w:rPr>
          <w:b/>
          <w:color w:themeColor="text1" w:val="000000"/>
          <w:sz w:val="26"/>
          <w:lang w:val="es-MX" w:eastAsia="en-US" w:bidi="ar-SA"/>
        </w:rPr>
        <w:t>Matriz Adjunta e Inversa (`adjunta` e `inversa`)</w:t>
      </w:r>
    </w:p>
    <w:p>
      <w:pPr>
        <w:pStyle w:val="Normal"/>
        <w:spacing w:before="0" w:after="120"/>
        <w:rPr>
          <w:lang w:val="es-MX" w:eastAsia="en-US" w:bidi="ar-SA"/>
        </w:rPr>
      </w:pPr>
      <w:r>
        <w:rPr>
          <w:color w:val="282828"/>
          <w:lang w:val="es-MX" w:eastAsia="en-US" w:bidi="ar-SA"/>
        </w:rPr>
        <w:t>Se muestran las funciones auxiliares para el cálculo de la adjunta y la inversa.</w:t>
      </w:r>
    </w:p>
    <w:p>
      <w:pPr>
        <w:pStyle w:val="Normal"/>
        <w:jc w:val="center"/>
        <w:rPr>
          <w:rFonts w:ascii="Calibri" w:hAnsi="Calibri"/>
          <w:lang w:val="es-MX" w:eastAsia="en-US" w:bidi="ar-SA"/>
        </w:rPr>
      </w:pPr>
      <w:r>
        <w:rPr>
          <w:lang w:val="es-MX" w:eastAsia="en-US" w:bidi="ar-SA"/>
        </w:rPr>
      </w:r>
    </w:p>
    <w:p>
      <w:pPr>
        <w:pStyle w:val="Normal"/>
        <w:jc w:val="center"/>
        <w:rPr>
          <w:lang w:val="es-MX" w:eastAsia="en-US" w:bidi="ar-SA"/>
        </w:rPr>
      </w:pPr>
      <w:r>
        <w:rPr>
          <w:lang w:val="es-MX" w:eastAsia="en-US" w:bidi="ar-SA"/>
        </w:rPr>
      </w:r>
    </w:p>
    <w:p>
      <w:pPr>
        <w:pStyle w:val="Normal"/>
        <w:spacing w:before="0" w:after="120"/>
        <w:rPr>
          <w:rFonts w:ascii="Calibri" w:hAnsi="Calibri"/>
          <w:b/>
          <w:bCs/>
          <w:color w:val="282828"/>
          <w:lang w:val="es-MX" w:eastAsia="en-US" w:bidi="ar-SA"/>
        </w:rPr>
      </w:pPr>
      <w:r>
        <w:rPr>
          <w:b/>
          <w:bCs/>
          <w:color w:val="282828"/>
          <w:lang w:val="es-MX" w:eastAsia="en-US" w:bidi="ar-SA"/>
        </w:rPr>
      </w:r>
    </w:p>
    <w:p>
      <w:pPr>
        <w:pStyle w:val="Normal"/>
        <w:spacing w:before="0" w:after="120"/>
        <w:rPr>
          <w:lang w:val="es-MX" w:eastAsia="en-US" w:bidi="ar-SA"/>
        </w:rPr>
      </w:pPr>
      <w:r>
        <w:rPr>
          <w:b/>
          <w:bCs/>
          <w:color w:val="282828"/>
          <w:lang w:val="es-MX" w:eastAsia="en-US" w:bidi="ar-SA"/>
        </w:rPr>
        <w:t>Explicación</w:t>
      </w:r>
    </w:p>
    <w:p>
      <w:pPr>
        <w:pStyle w:val="Normal"/>
        <w:spacing w:before="0" w:after="120"/>
        <w:rPr>
          <w:lang w:val="es-MX" w:eastAsia="en-US" w:bidi="ar-SA"/>
        </w:rPr>
      </w:pPr>
      <w:r>
        <w:rPr>
          <w:color w:val="282828"/>
          <w:lang w:val="es-MX" w:eastAsia="en-US" w:bidi="ar-SA"/>
        </w:rPr>
        <w:t>La función “adjunta()” calcula la matriz transpuesta de cofactores mediante menores complementarios obtenidos por el mismo método de Montante. Posteriormente, “inversa()” divide cada entrada de la adjunta entre el determinante final.</w:t>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spacing w:before="0" w:after="120"/>
        <w:rPr>
          <w:rFonts w:ascii="Calibri" w:hAnsi="Calibri"/>
          <w:color w:val="282828"/>
          <w:lang w:val="es-MX" w:eastAsia="en-US" w:bidi="ar-SA"/>
        </w:rPr>
      </w:pPr>
      <w:r>
        <w:rPr>
          <w:color w:val="282828"/>
          <w:lang w:val="es-MX" w:eastAsia="en-US" w:bidi="ar-SA"/>
        </w:rPr>
      </w:r>
    </w:p>
    <w:p>
      <w:pPr>
        <w:pStyle w:val="Normal"/>
        <w:rPr>
          <w:lang w:val="es-MX" w:eastAsia="en-US" w:bidi="ar-SA"/>
        </w:rPr>
      </w:pPr>
      <w:r>
        <w:rPr>
          <w:b/>
          <w:bCs/>
          <w:sz w:val="32"/>
          <w:szCs w:val="32"/>
          <w:lang w:val="es-MX" w:eastAsia="en-US" w:bidi="ar-SA"/>
        </w:rPr>
        <w:t>Diagramas de flujo</w:t>
      </w:r>
    </w:p>
    <w:p>
      <w:pPr>
        <w:pStyle w:val="Normal"/>
        <w:rPr>
          <w:lang w:val="es-MX" w:eastAsia="en-US" w:bidi="ar-SA"/>
        </w:rPr>
      </w:pPr>
      <w:r>
        <w:rPr>
          <w:b/>
          <w:bCs/>
          <w:sz w:val="26"/>
          <w:szCs w:val="26"/>
          <w:lang w:val="es-MX" w:eastAsia="en-US" w:bidi="ar-SA"/>
        </w:rPr>
        <w:t>Adjunta</w: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26"/>
          <w:szCs w:val="26"/>
          <w:lang w:val="es-MX" w:eastAsia="en-US" w:bidi="ar-SA"/>
        </w:rPr>
        <w:t>Determinante</w:t>
      </w:r>
    </w:p>
    <w:p>
      <w:pPr>
        <w:pStyle w:val="Normal"/>
        <w:rPr>
          <w:rFonts w:ascii="Calibri" w:hAnsi="Calibri"/>
          <w:b/>
          <w:bCs/>
          <w:sz w:val="24"/>
          <w:szCs w:val="24"/>
          <w:lang w:val="es-MX" w:eastAsia="en-US" w:bidi="ar-SA"/>
        </w:rPr>
      </w:pPr>
      <w:r>
        <w:rPr>
          <w:b/>
          <w:bCs/>
          <w:sz w:val="24"/>
          <w:szCs w:val="24"/>
          <w:lang w:val="es-MX" w:eastAsia="en-US" w:bidi="ar-SA"/>
        </w:rPr>
        <mc:AlternateContent>
          <mc:Choice Requires="wps">
            <w:drawing>
              <wp:anchor distT="635" distB="635" distL="635" distR="635" simplePos="0" relativeHeight="4" behindDoc="0" locked="0" layoutInCell="1" allowOverlap="1">
                <wp:simplePos x="0" y="0"/>
                <wp:positionH relativeFrom="column">
                  <wp:posOffset>5459730</wp:posOffset>
                </wp:positionH>
                <wp:positionV relativeFrom="paragraph">
                  <wp:posOffset>3756660</wp:posOffset>
                </wp:positionV>
                <wp:extent cx="204470" cy="193040"/>
                <wp:effectExtent l="635" t="635" r="635" b="635"/>
                <wp:wrapNone/>
                <wp:docPr id="3" name="Text Frame 1"/>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1</w:t>
                            </w:r>
                          </w:p>
                        </w:txbxContent>
                      </wps:txbx>
                      <wps:bodyPr lIns="0" tIns="0" rIns="0" bIns="0" anchor="t">
                        <a:noAutofit/>
                      </wps:bodyPr>
                    </wps:wsp>
                  </a:graphicData>
                </a:graphic>
              </wp:anchor>
            </w:drawing>
          </mc:Choice>
          <mc:Fallback>
            <w:pict>
              <v:rect id="shape_0" stroked="t" o:allowincell="f" style="position:absolute;margin-left:429.9pt;margin-top:295.8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1</w:t>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5459730</wp:posOffset>
                </wp:positionH>
                <wp:positionV relativeFrom="paragraph">
                  <wp:posOffset>6226175</wp:posOffset>
                </wp:positionV>
                <wp:extent cx="204470" cy="193040"/>
                <wp:effectExtent l="635" t="635" r="635" b="635"/>
                <wp:wrapNone/>
                <wp:docPr id="4" name="Text Frame 13"/>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4</w:t>
                            </w:r>
                          </w:p>
                        </w:txbxContent>
                      </wps:txbx>
                      <wps:bodyPr lIns="0" tIns="0" rIns="0" bIns="0" anchor="t">
                        <a:noAutofit/>
                      </wps:bodyPr>
                    </wps:wsp>
                  </a:graphicData>
                </a:graphic>
              </wp:anchor>
            </w:drawing>
          </mc:Choice>
          <mc:Fallback>
            <w:pict>
              <v:rect id="shape_0" stroked="t" o:allowincell="f" style="position:absolute;margin-left:429.9pt;margin-top:490.25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4</w:t>
                      </w:r>
                    </w:p>
                  </w:txbxContent>
                </v:textbox>
                <w10:wrap type="none"/>
              </v:rect>
            </w:pict>
          </mc:Fallback>
        </mc:AlternateContent>
        <mc:AlternateContent>
          <mc:Choice Requires="wps">
            <w:drawing>
              <wp:anchor distT="635" distB="635" distL="635" distR="635" simplePos="0" relativeHeight="8" behindDoc="0" locked="0" layoutInCell="1" allowOverlap="1">
                <wp:simplePos x="0" y="0"/>
                <wp:positionH relativeFrom="column">
                  <wp:posOffset>5459730</wp:posOffset>
                </wp:positionH>
                <wp:positionV relativeFrom="paragraph">
                  <wp:posOffset>4109720</wp:posOffset>
                </wp:positionV>
                <wp:extent cx="204470" cy="193040"/>
                <wp:effectExtent l="635" t="635" r="635" b="635"/>
                <wp:wrapNone/>
                <wp:docPr id="5" name="Text Frame 14"/>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2</w:t>
                            </w:r>
                          </w:p>
                        </w:txbxContent>
                      </wps:txbx>
                      <wps:bodyPr lIns="0" tIns="0" rIns="0" bIns="0" anchor="t">
                        <a:noAutofit/>
                      </wps:bodyPr>
                    </wps:wsp>
                  </a:graphicData>
                </a:graphic>
              </wp:anchor>
            </w:drawing>
          </mc:Choice>
          <mc:Fallback>
            <w:pict>
              <v:rect id="shape_0" stroked="t" o:allowincell="f" style="position:absolute;margin-left:429.9pt;margin-top:323.6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2</w:t>
                      </w:r>
                    </w:p>
                  </w:txbxContent>
                </v:textbox>
                <w10:wrap type="none"/>
              </v:rect>
            </w:pict>
          </mc:Fallback>
        </mc:AlternateContent>
        <mc:AlternateContent>
          <mc:Choice Requires="wps">
            <w:drawing>
              <wp:anchor distT="635" distB="635" distL="635" distR="635" simplePos="0" relativeHeight="10" behindDoc="0" locked="0" layoutInCell="1" allowOverlap="1">
                <wp:simplePos x="0" y="0"/>
                <wp:positionH relativeFrom="column">
                  <wp:posOffset>5459730</wp:posOffset>
                </wp:positionH>
                <wp:positionV relativeFrom="paragraph">
                  <wp:posOffset>4838065</wp:posOffset>
                </wp:positionV>
                <wp:extent cx="204470" cy="193040"/>
                <wp:effectExtent l="635" t="635" r="635" b="635"/>
                <wp:wrapNone/>
                <wp:docPr id="6" name="Text Frame 15"/>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3</w:t>
                            </w:r>
                          </w:p>
                        </w:txbxContent>
                      </wps:txbx>
                      <wps:bodyPr lIns="0" tIns="0" rIns="0" bIns="0" anchor="t">
                        <a:noAutofit/>
                      </wps:bodyPr>
                    </wps:wsp>
                  </a:graphicData>
                </a:graphic>
              </wp:anchor>
            </w:drawing>
          </mc:Choice>
          <mc:Fallback>
            <w:pict>
              <v:rect id="shape_0" stroked="t" o:allowincell="f" style="position:absolute;margin-left:429.9pt;margin-top:380.95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3</w:t>
                      </w:r>
                    </w:p>
                  </w:txbxContent>
                </v:textbox>
                <w10:wrap type="none"/>
              </v:rect>
            </w:pict>
          </mc:Fallback>
        </mc:AlternateConten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24"/>
          <w:szCs w:val="24"/>
          <w:lang w:val="es-MX" w:eastAsia="en-US" w:bidi="ar-SA"/>
        </w:rPr>
        <w:t>Eliminación Montante</w: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mc:AlternateContent>
          <mc:Choice Requires="wps">
            <w:drawing>
              <wp:anchor distT="635" distB="635" distL="635" distR="635" simplePos="0" relativeHeight="12" behindDoc="0" locked="0" layoutInCell="1" allowOverlap="1">
                <wp:simplePos x="0" y="0"/>
                <wp:positionH relativeFrom="column">
                  <wp:posOffset>2936240</wp:posOffset>
                </wp:positionH>
                <wp:positionV relativeFrom="paragraph">
                  <wp:posOffset>5387340</wp:posOffset>
                </wp:positionV>
                <wp:extent cx="204470" cy="193040"/>
                <wp:effectExtent l="635" t="635" r="635" b="635"/>
                <wp:wrapNone/>
                <wp:docPr id="7" name="Text Frame 6"/>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1</w:t>
                            </w:r>
                          </w:p>
                        </w:txbxContent>
                      </wps:txbx>
                      <wps:bodyPr lIns="0" tIns="0" rIns="0" bIns="0" anchor="t">
                        <a:noAutofit/>
                      </wps:bodyPr>
                    </wps:wsp>
                  </a:graphicData>
                </a:graphic>
              </wp:anchor>
            </w:drawing>
          </mc:Choice>
          <mc:Fallback>
            <w:pict>
              <v:rect id="shape_0" stroked="t" o:allowincell="f" style="position:absolute;margin-left:231.2pt;margin-top:424.2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1</w:t>
                      </w:r>
                    </w:p>
                  </w:txbxContent>
                </v:textbox>
                <w10:wrap type="none"/>
              </v:rect>
            </w:pict>
          </mc:Fallback>
        </mc:AlternateContent>
      </w:r>
    </w:p>
    <w:p>
      <w:pPr>
        <w:pStyle w:val="Normal"/>
        <w:rPr>
          <w:rFonts w:ascii="Calibri" w:hAnsi="Calibri"/>
          <w:b/>
          <w:bCs/>
          <w:sz w:val="24"/>
          <w:szCs w:val="24"/>
          <w:lang w:val="es-MX" w:eastAsia="en-US" w:bidi="ar-SA"/>
        </w:rPr>
      </w:pPr>
      <w:r>
        <w:rPr>
          <w:b/>
          <w:bCs/>
          <w:sz w:val="24"/>
          <w:szCs w:val="24"/>
          <w:lang w:val="es-MX" w:eastAsia="en-US" w:bidi="ar-SA"/>
        </w:rPr>
      </w:r>
    </w:p>
    <w:p>
      <w:pPr>
        <w:pStyle w:val="Normal"/>
        <w:spacing w:before="0" w:after="160"/>
        <w:rPr>
          <w:rFonts w:ascii="Calibri" w:hAnsi="Calibri"/>
          <w:b/>
          <w:bCs/>
          <w:sz w:val="24"/>
          <w:szCs w:val="24"/>
          <w:lang w:val="es-MX" w:eastAsia="en-US" w:bidi="ar-SA"/>
        </w:rPr>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pPr>
      <w:r>
        <w:rPr>
          <w:b/>
          <w:bCs/>
          <w:sz w:val="24"/>
          <w:szCs w:val="24"/>
          <w:lang w:val="es-MX" w:eastAsia="en-US" w:bidi="ar-SA"/>
        </w:rPr>
        <mc:AlternateContent>
          <mc:Choice Requires="wps">
            <w:drawing>
              <wp:anchor distT="635" distB="635" distL="635" distR="635" simplePos="0" relativeHeight="14" behindDoc="0" locked="0" layoutInCell="1" allowOverlap="1">
                <wp:simplePos x="0" y="0"/>
                <wp:positionH relativeFrom="column">
                  <wp:posOffset>2628900</wp:posOffset>
                </wp:positionH>
                <wp:positionV relativeFrom="paragraph">
                  <wp:posOffset>-24130</wp:posOffset>
                </wp:positionV>
                <wp:extent cx="204470" cy="193040"/>
                <wp:effectExtent l="635" t="635" r="635" b="635"/>
                <wp:wrapNone/>
                <wp:docPr id="8" name="Text Frame 7"/>
                <a:graphic xmlns:a="http://schemas.openxmlformats.org/drawingml/2006/main">
                  <a:graphicData uri="http://schemas.microsoft.com/office/word/2010/wordprocessingShape">
                    <wps:wsp>
                      <wps:cNvSpPr/>
                      <wps:spPr>
                        <a:xfrm>
                          <a:off x="0" y="0"/>
                          <a:ext cx="204480" cy="192960"/>
                        </a:xfrm>
                        <a:prstGeom prst="rect">
                          <a:avLst/>
                        </a:prstGeom>
                        <a:noFill/>
                        <a:ln w="0">
                          <a:solidFill>
                            <a:srgbClr val="000000"/>
                          </a:solidFill>
                        </a:ln>
                      </wps:spPr>
                      <wps:style>
                        <a:lnRef idx="0"/>
                        <a:fillRef idx="0"/>
                        <a:effectRef idx="0"/>
                        <a:fontRef idx="minor"/>
                      </wps:style>
                      <wps:txbx>
                        <w:txbxContent>
                          <w:p>
                            <w:pPr>
                              <w:pStyle w:val="FrameContents"/>
                              <w:overflowPunct w:val="true"/>
                              <w:spacing w:lineRule="auto" w:line="240" w:before="0" w:after="0"/>
                              <w:jc w:val="center"/>
                              <w:rPr/>
                            </w:pPr>
                            <w:r>
                              <w:rPr/>
                              <w:t>1</w:t>
                            </w:r>
                          </w:p>
                        </w:txbxContent>
                      </wps:txbx>
                      <wps:bodyPr lIns="0" tIns="0" rIns="0" bIns="0" anchor="t">
                        <a:noAutofit/>
                      </wps:bodyPr>
                    </wps:wsp>
                  </a:graphicData>
                </a:graphic>
              </wp:anchor>
            </w:drawing>
          </mc:Choice>
          <mc:Fallback>
            <w:pict>
              <v:rect id="shape_0" stroked="t" o:allowincell="f" style="position:absolute;margin-left:207pt;margin-top:-1.9pt;width:16.05pt;height:15.15pt;mso-wrap-style:square;v-text-anchor:top">
                <v:fill o:detectmouseclick="t" on="false"/>
                <v:stroke color="black" joinstyle="round" endcap="flat"/>
                <v:textbox>
                  <w:txbxContent>
                    <w:p>
                      <w:pPr>
                        <w:pStyle w:val="FrameContents"/>
                        <w:overflowPunct w:val="true"/>
                        <w:spacing w:lineRule="auto" w:line="240" w:before="0" w:after="0"/>
                        <w:jc w:val="center"/>
                        <w:rPr/>
                      </w:pPr>
                      <w:r>
                        <w:rPr/>
                        <w:t>1</w:t>
                      </w:r>
                    </w:p>
                  </w:txbxContent>
                </v:textbox>
                <w10:wrap type="none"/>
              </v:rect>
            </w:pict>
          </mc:Fallback>
        </mc:AlternateContent>
      </w:r>
    </w:p>
    <w:p>
      <w:pPr>
        <w:pStyle w:val="Normal"/>
        <w:rPr>
          <w:lang w:val="es-MX" w:eastAsia="en-US" w:bidi="ar-SA"/>
        </w:rPr>
      </w:pPr>
      <w:r>
        <w:rPr>
          <w:b/>
          <w:bCs/>
          <w:sz w:val="24"/>
          <w:szCs w:val="24"/>
          <w:lang w:val="es-MX" w:eastAsia="en-US" w:bidi="ar-SA"/>
        </w:rPr>
        <w:t>Inversa</w: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24"/>
          <w:szCs w:val="24"/>
          <w:lang w:val="es-MX" w:eastAsia="en-US" w:bidi="ar-SA"/>
        </w:rPr>
        <w:t>Resolver Sistema</w: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32"/>
          <w:szCs w:val="32"/>
          <w:lang w:val="es-MX" w:eastAsia="en-US" w:bidi="ar-SA"/>
        </w:rPr>
        <w:t>Conclusión general</w:t>
      </w:r>
    </w:p>
    <w:p>
      <w:pPr>
        <w:pStyle w:val="Normal"/>
        <w:rPr>
          <w:lang w:val="es-MX" w:eastAsia="en-US" w:bidi="ar-SA"/>
        </w:rPr>
      </w:pPr>
      <w:r>
        <w:rPr>
          <w:sz w:val="22"/>
          <w:szCs w:val="22"/>
          <w:lang w:val="es-MX" w:eastAsia="en-US" w:bidi="ar-SA"/>
        </w:rPr>
        <w:t>El desarrollo de este proyecto permitió comprobar que el método de Montante es una herramienta eficiente y numéricamente estable para resolver sistemas de ecuaciones lineales, así como para obtener el determinante, la adjunta y la inversa de una matriz, evitando por completo los errores de redondeo gracias al uso de aritmética exacta con fracciones. A nivel de implementación, separar la lógica matemática de la interfaz de usuario facilitó probar cada función por separado y deja un código más fácil de mantener y extender a futuro. Verificar la solvencia del sistema antes de aplicar el método, mediante el teorema de Rouché-Frobenius, resultó fundamental para evitar resultados incorrectos en sistemas incompatibles o indeterminados. En conjunto, el proyecto reforzó tanto el entendimiento teórico del método visto en clase como la capacidad de traducir un algoritmo matemático en código funcional y confiable.</w:t>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32"/>
          <w:szCs w:val="32"/>
          <w:lang w:val="es-MX" w:eastAsia="en-US" w:bidi="ar-SA"/>
        </w:rPr>
        <w:t>Ejemplo de ejecución</w:t>
      </w:r>
    </w:p>
    <w:p>
      <w:pPr>
        <w:pStyle w:val="Normal"/>
        <w:spacing w:before="0" w:after="120"/>
        <w:rPr>
          <w:lang w:val="es-MX" w:eastAsia="en-US" w:bidi="ar-SA"/>
        </w:rPr>
      </w:pPr>
      <w:r>
        <w:rPr>
          <w:color w:val="282828"/>
          <w:lang w:val="es-MX" w:eastAsia="en-US" w:bidi="ar-SA"/>
        </w:rPr>
        <w:t>Para validar el correcto funcionamiento del programa, se propone el siguiente sistema de ecuaciones lineales 3x3:</w:t>
      </w:r>
    </w:p>
    <w:p>
      <w:pPr>
        <w:pStyle w:val="Normal"/>
        <w:rPr>
          <w:lang w:val="es-MX" w:eastAsia="en-US" w:bidi="ar-SA"/>
        </w:rPr>
      </w:pPr>
      <w:r>
        <w:rPr>
          <w:lang w:val="es-MX" w:eastAsia="en-US" w:bidi="ar-SA"/>
        </w:rPr>
      </w:r>
    </w:p>
    <w:p>
      <w:pPr>
        <w:pStyle w:val="Normal"/>
        <w:rPr>
          <w:lang w:val="es-MX" w:eastAsia="en-US" w:bidi="ar-SA"/>
        </w:rPr>
      </w:pPr>
      <w:r>
        <w:rPr>
          <w:lang w:val="es-MX" w:eastAsia="en-US" w:bidi="ar-SA"/>
        </w:rPr>
      </w:r>
    </w:p>
    <w:p>
      <w:pPr>
        <w:pStyle w:val="Normal"/>
        <w:rPr>
          <w:rFonts w:ascii="Calibri" w:hAnsi="Calibri"/>
          <w:sz w:val="24"/>
          <w:szCs w:val="24"/>
          <w:lang w:val="es-MX" w:eastAsia="en-US" w:bidi="ar-SA"/>
        </w:rPr>
      </w:pPr>
      <w:r>
        <w:rPr>
          <w:sz w:val="24"/>
          <w:szCs w:val="24"/>
          <w:lang w:val="es-MX" w:eastAsia="en-US" w:bidi="ar-SA"/>
        </w:rPr>
      </w:r>
    </w:p>
    <w:p>
      <w:pPr>
        <w:pStyle w:val="Normal"/>
        <w:rPr>
          <w:rFonts w:ascii="Calibri" w:hAnsi="Calibri"/>
          <w:sz w:val="24"/>
          <w:szCs w:val="24"/>
          <w:lang w:val="es-MX" w:eastAsia="en-US" w:bidi="ar-SA"/>
        </w:rPr>
      </w:pPr>
      <w:r>
        <w:rPr>
          <w:sz w:val="24"/>
          <w:szCs w:val="24"/>
          <w:lang w:val="es-MX" w:eastAsia="en-US" w:bidi="ar-SA"/>
        </w:rPr>
      </w:r>
    </w:p>
    <w:p>
      <w:pPr>
        <w:pStyle w:val="Normal"/>
        <w:rPr>
          <w:lang w:val="es-MX" w:eastAsia="en-US" w:bidi="ar-SA"/>
        </w:rPr>
      </w:pPr>
      <w:r>
        <w:rPr>
          <w:lang w:val="es-MX" w:eastAsia="en-US" w:bidi="ar-SA"/>
        </w:rPr>
      </w:r>
    </w:p>
    <w:p>
      <w:pPr>
        <w:pStyle w:val="Normal"/>
        <w:rPr>
          <w:rFonts w:ascii="Calibri" w:hAnsi="Calibri"/>
          <w:sz w:val="24"/>
          <w:szCs w:val="24"/>
          <w:lang w:val="es-MX" w:eastAsia="en-US" w:bidi="ar-SA"/>
        </w:rPr>
      </w:pPr>
      <w:r>
        <w:rPr>
          <w:sz w:val="24"/>
          <w:szCs w:val="24"/>
          <w:lang w:val="es-MX" w:eastAsia="en-US" w:bidi="ar-SA"/>
        </w:rPr>
      </w:r>
    </w:p>
    <w:p>
      <w:pPr>
        <w:pStyle w:val="Normal"/>
        <w:rPr>
          <w:lang w:val="es-MX" w:eastAsia="en-US" w:bidi="ar-SA"/>
        </w:rPr>
      </w:pPr>
      <w:r>
        <w:rPr>
          <w:lang w:val="es-MX" w:eastAsia="en-US" w:bidi="ar-SA"/>
        </w:rPr>
      </w:r>
    </w:p>
    <w:p>
      <w:pPr>
        <w:pStyle w:val="Normal"/>
        <w:rPr>
          <w:rFonts w:ascii="Calibri" w:hAnsi="Calibri"/>
          <w:sz w:val="24"/>
          <w:szCs w:val="24"/>
          <w:lang w:val="es-MX" w:eastAsia="en-US" w:bidi="ar-SA"/>
        </w:rPr>
      </w:pPr>
      <w:r>
        <w:rPr>
          <w:sz w:val="24"/>
          <w:szCs w:val="24"/>
          <w:lang w:val="es-MX" w:eastAsia="en-US" w:bidi="ar-SA"/>
        </w:rPr>
      </w:r>
    </w:p>
    <w:p>
      <w:pPr>
        <w:pStyle w:val="Normal"/>
        <w:rPr>
          <w:lang w:val="es-MX" w:eastAsia="en-US" w:bidi="ar-SA"/>
        </w:rPr>
      </w:pPr>
      <w:r>
        <w:rPr>
          <w:lang w:val="es-MX" w:eastAsia="en-US" w:bidi="ar-SA"/>
        </w:rPr>
      </w:r>
    </w:p>
    <w:p>
      <w:pPr>
        <w:pStyle w:val="Normal"/>
        <w:rPr>
          <w:lang w:val="es-MX" w:eastAsia="en-US" w:bidi="ar-SA"/>
        </w:rPr>
      </w:pPr>
      <w:r>
        <w:rPr>
          <w:lang w:val="es-MX" w:eastAsia="en-US" w:bidi="ar-SA"/>
        </w:rPr>
      </w:r>
    </w:p>
    <w:p>
      <w:pPr>
        <w:pStyle w:val="Normal"/>
        <w:rPr>
          <w:rFonts w:ascii="Calibri" w:hAnsi="Calibri"/>
          <w:sz w:val="24"/>
          <w:szCs w:val="24"/>
          <w:lang w:val="es-MX" w:eastAsia="en-US" w:bidi="ar-SA"/>
        </w:rPr>
      </w:pPr>
      <w:r>
        <w:rPr>
          <w:sz w:val="24"/>
          <w:szCs w:val="24"/>
          <w:lang w:val="es-MX" w:eastAsia="en-US" w:bidi="ar-SA"/>
        </w:rPr>
      </w:r>
    </w:p>
    <w:p>
      <w:pPr>
        <w:pStyle w:val="Normal"/>
        <w:rPr>
          <w:lang w:val="es-MX" w:eastAsia="en-US" w:bidi="ar-SA"/>
        </w:rPr>
      </w:pPr>
      <w:r>
        <w:rPr>
          <w:lang w:val="es-MX" w:eastAsia="en-US" w:bidi="ar-SA"/>
        </w:rPr>
      </w:r>
    </w:p>
    <w:p>
      <w:pPr>
        <w:pStyle w:val="Normal"/>
        <w:rPr>
          <w:lang w:val="es-MX" w:eastAsia="en-US" w:bidi="ar-SA"/>
        </w:rPr>
      </w:pPr>
      <w:r>
        <w:rPr>
          <w:lang w:val="es-MX" w:eastAsia="en-US" w:bidi="ar-SA"/>
        </w:rPr>
      </w:r>
    </w:p>
    <w:p>
      <w:pPr>
        <w:pStyle w:val="Normal"/>
        <w:rPr>
          <w:rFonts w:ascii="Calibri" w:hAnsi="Calibri"/>
          <w:b/>
          <w:bCs/>
          <w:sz w:val="24"/>
          <w:szCs w:val="24"/>
          <w:lang w:val="es-MX" w:eastAsia="en-US" w:bidi="ar-SA"/>
        </w:rPr>
      </w:pPr>
      <w:r>
        <w:rPr>
          <w:b/>
          <w:bCs/>
          <w:sz w:val="24"/>
          <w:szCs w:val="24"/>
          <w:lang w:val="es-MX" w:eastAsia="en-US" w:bidi="ar-SA"/>
        </w:rPr>
      </w:r>
    </w:p>
    <w:p>
      <w:pPr>
        <w:pStyle w:val="Normal"/>
        <w:rPr>
          <w:lang w:val="es-MX" w:eastAsia="en-US" w:bidi="ar-SA"/>
        </w:rPr>
      </w:pPr>
      <w:r>
        <w:rPr>
          <w:b/>
          <w:bCs/>
          <w:sz w:val="32"/>
          <w:szCs w:val="32"/>
          <w:lang w:val="es-MX" w:eastAsia="en-US" w:bidi="ar-SA"/>
        </w:rPr>
        <w:t>Bibliografía</w:t>
      </w:r>
    </w:p>
    <w:p>
      <w:pPr>
        <w:pStyle w:val="Normal"/>
        <w:rPr/>
      </w:pPr>
      <w:hyperlink r:id="rId4">
        <w:r>
          <w:rPr>
            <w:rStyle w:val="Hyperlink"/>
            <w:color w:val="auto"/>
            <w:sz w:val="22"/>
            <w:szCs w:val="22"/>
            <w:u w:val="none"/>
            <w:shd w:fill="auto" w:val="clear"/>
            <w:lang w:val="es-MX" w:eastAsia="en-US" w:bidi="ar-SA"/>
          </w:rPr>
          <w:t xml:space="preserve">Método de Montante. (2017, June 14). Métodos Numéricos. </w:t>
        </w:r>
      </w:hyperlink>
      <w:hyperlink r:id="rId5">
        <w:r>
          <w:rPr>
            <w:rStyle w:val="Hyperlink"/>
            <w:color w:val="auto"/>
            <w:sz w:val="22"/>
            <w:szCs w:val="22"/>
            <w:u w:val="none"/>
            <w:shd w:fill="auto" w:val="clear"/>
            <w:lang w:val="es-MX" w:eastAsia="en-US" w:bidi="ar-SA"/>
          </w:rPr>
          <w:t>https://metodosnumericos121.wordpress.com/metodo-de-montante/</w:t>
        </w:r>
      </w:hyperlink>
    </w:p>
    <w:p>
      <w:pPr>
        <w:pStyle w:val="Normal"/>
        <w:rPr>
          <w:rFonts w:ascii="Calibri" w:hAnsi="Calibri"/>
          <w:color w:val="auto"/>
          <w:sz w:val="22"/>
          <w:szCs w:val="22"/>
          <w:highlight w:val="none"/>
          <w:u w:val="none"/>
          <w:shd w:fill="auto" w:val="clear"/>
          <w:lang w:val="es-MX" w:eastAsia="en-US" w:bidi="ar-SA"/>
        </w:rPr>
      </w:pPr>
      <w:r>
        <w:rPr>
          <w:color w:val="auto"/>
          <w:sz w:val="22"/>
          <w:szCs w:val="22"/>
          <w:u w:val="none"/>
          <w:shd w:fill="auto" w:val="clear"/>
          <w:lang w:val="es-MX" w:eastAsia="en-US" w:bidi="ar-SA"/>
        </w:rPr>
      </w:r>
    </w:p>
    <w:p>
      <w:pPr>
        <w:pStyle w:val="Normal"/>
        <w:rPr/>
      </w:pPr>
      <w:r>
        <w:rPr>
          <w:color w:val="auto"/>
          <w:sz w:val="22"/>
          <w:szCs w:val="22"/>
          <w:u w:val="none"/>
          <w:shd w:fill="auto" w:val="clear"/>
          <w:lang w:val="es-MX" w:eastAsia="en-US" w:bidi="ar-SA"/>
        </w:rPr>
        <w:t xml:space="preserve">Derivando. (2018). El TEOREMA DE ROUCHÉ-FROBENIUS | Una cumbre de las matemáticas escolares [Video]. YouTube. </w:t>
      </w:r>
      <w:hyperlink r:id="rId6">
        <w:r>
          <w:rPr>
            <w:rStyle w:val="Hyperlink"/>
            <w:color w:val="auto"/>
            <w:sz w:val="22"/>
            <w:szCs w:val="22"/>
            <w:u w:val="none"/>
            <w:shd w:fill="auto" w:val="clear"/>
            <w:lang w:val="es-MX" w:eastAsia="en-US" w:bidi="ar-SA"/>
          </w:rPr>
          <w:t>https://www.youtube.com/watch?v=JnutYsGpKIE</w:t>
        </w:r>
      </w:hyperlink>
    </w:p>
    <w:p>
      <w:pPr>
        <w:pStyle w:val="Normal"/>
        <w:rPr>
          <w:rFonts w:ascii="Calibri" w:hAnsi="Calibri"/>
          <w:color w:val="auto"/>
          <w:sz w:val="22"/>
          <w:szCs w:val="22"/>
          <w:highlight w:val="none"/>
          <w:u w:val="none"/>
          <w:shd w:fill="auto" w:val="clear"/>
          <w:lang w:val="es-MX" w:eastAsia="en-US" w:bidi="ar-SA"/>
        </w:rPr>
      </w:pPr>
      <w:r>
        <w:rPr>
          <w:color w:val="auto"/>
          <w:sz w:val="22"/>
          <w:szCs w:val="22"/>
          <w:u w:val="none"/>
          <w:shd w:fill="auto" w:val="clear"/>
          <w:lang w:val="es-MX" w:eastAsia="en-US" w:bidi="ar-SA"/>
        </w:rPr>
      </w:r>
    </w:p>
    <w:p>
      <w:pPr>
        <w:pStyle w:val="Normal"/>
        <w:spacing w:before="0" w:after="160"/>
        <w:rPr/>
      </w:pPr>
      <w:r>
        <w:rPr>
          <w:color w:val="auto"/>
          <w:sz w:val="22"/>
          <w:szCs w:val="22"/>
          <w:u w:val="none"/>
          <w:shd w:fill="auto" w:val="clear"/>
          <w:lang w:val="es-MX" w:eastAsia="en-US" w:bidi="ar-SA"/>
        </w:rPr>
        <w:t xml:space="preserve">Rouché–Capelli theorem. (2026). In Wikipedia. </w:t>
      </w:r>
      <w:hyperlink r:id="rId7">
        <w:r>
          <w:rPr>
            <w:rStyle w:val="Hyperlink"/>
            <w:color w:val="auto"/>
            <w:sz w:val="22"/>
            <w:szCs w:val="22"/>
            <w:u w:val="none"/>
            <w:shd w:fill="auto" w:val="clear"/>
            <w:lang w:val="es-MX" w:eastAsia="en-US" w:bidi="ar-SA"/>
          </w:rPr>
          <w:t>https://en.wikipedia.org/w/index.php?title=Rouch%C3%A9%E2%80%93Capelli_theorem&amp;oldid=1358871033</w:t>
        </w:r>
      </w:hyperlink>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unhideWhenUsed/>
    <w:qFormat/>
    <w:rPr/>
  </w:style>
  <w:style w:type="character" w:styleId="Emphasis">
    <w:name w:val="Emphasis"/>
    <w:qFormat/>
    <w:rPr>
      <w:i/>
      <w:iCs/>
    </w:rPr>
  </w:style>
  <w:style w:type="character" w:styleId="Hyperlink">
    <w:name w:val="Hyperlink"/>
    <w:basedOn w:val="DefaultParagraphFont"/>
    <w:uiPriority w:val="99"/>
    <w:unhideWhenUsed/>
    <w:rsid w:val="000a70c2"/>
    <w:rPr>
      <w:color w:themeColor="hyperlink" w:val="0563C1"/>
      <w:u w:val="single"/>
    </w:rPr>
  </w:style>
  <w:style w:type="character" w:styleId="UnresolvedMention">
    <w:name w:val="Unresolved Mention"/>
    <w:basedOn w:val="DefaultParagraphFont"/>
    <w:uiPriority w:val="99"/>
    <w:semiHidden/>
    <w:unhideWhenUsed/>
    <w:qFormat/>
    <w:rsid w:val="000a70c2"/>
    <w:rPr>
      <w:color w:val="605E5C"/>
      <w:shd w:fill="E1DFDD" w:val="clear"/>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FrameContents">
    <w:name w:val="Frame Contents"/>
    <w:basedOn w:val="Normal"/>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metodosnumericos121.wordpress.com/metodo-de-montante/" TargetMode="External"/><Relationship Id="rId5" Type="http://schemas.openxmlformats.org/officeDocument/2006/relationships/hyperlink" Target="https://metodosnumericos121.wordpress.com/metodo-de-montante/" TargetMode="External"/><Relationship Id="rId6" Type="http://schemas.openxmlformats.org/officeDocument/2006/relationships/hyperlink" Target="https://www.youtube.com/watch?v=JnutYsGpKIE" TargetMode="External"/><Relationship Id="rId7" Type="http://schemas.openxmlformats.org/officeDocument/2006/relationships/hyperlink" Target="https://en.wikipedia.org/w/index.php?title=Rouch&#233;&#8211;Capelli_theorem&amp;oldid=1358871033"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TotalTime>
  <Application>LibreOffice/26.8.0.3$Linux_X86_64 LibreOffice_project/e34ffb33db0c92181c79084d759a90d6bf45d9b3</Application>
  <AppVersion>15.0000</AppVersion>
  <Pages>7</Pages>
  <Words>785</Words>
  <Characters>4744</Characters>
  <CharactersWithSpaces>5519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2024-08-24T05:04:00Z</dcterms:created>
  <dc:creator>Sebastián Calderon</dc:creator>
  <dc:description/>
  <dc:language>en-US</dc:language>
  <cp:lastModifiedBy/>
  <dcterms:modified xsi:type="dcterms:W3CDTF">2026-09-15T23:38:36Z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