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360"/>
      </w:pPr>
      <w:r>
        <w:rPr>
          <w:rFonts w:ascii="Roboto Mono" w:cs="Roboto Mono" w:eastAsia="Roboto Mono" w:hAnsi="Roboto Mono"/>
          <w:color w:val="6B6B6B"/>
          <w:spacing w:val="12"/>
          <w:sz w:val="16"/>
          <w:szCs w:val="16"/>
        </w:rPr>
        <w:t xml:space="preserve">ACME CO. · ENGAGEMENT PROPOSAL</w:t>
      </w:r>
    </w:p>
    <w:p>
      <w:pPr>
        <w:spacing w:after="160"/>
      </w:pPr>
    </w:p>
    <w:p>
      <w:pPr>
        <w:pStyle w:val="Title"/>
        <w:spacing w:after="200" w:line="360"/>
      </w:pPr>
      <w:r>
        <w:t xml:space="preserve">A quieter system for how Acme ships.</w:t>
      </w:r>
    </w:p>
    <w:p>
      <w:pPr>
        <w:pStyle w:val="Subtitle"/>
        <w:spacing w:after="200" w:line="360"/>
      </w:pPr>
      <w:r>
        <w:rPr>
          <w:rFonts w:ascii="Instrument Serif" w:cs="Instrument Serif" w:eastAsia="Instrument Serif" w:hAnsi="Instrument Serif"/>
          <w:color w:val="3D3D3D"/>
          <w:sz w:val="32"/>
          <w:szCs w:val="32"/>
        </w:rPr>
        <w:t xml:space="preserve">A proposal to design and build a unified content system across Acme's docs, decks, and dashboards.</w:t>
      </w:r>
    </w:p>
    <w:p>
      <w:pPr>
        <w:spacing w:after="5600"/>
      </w:pPr>
    </w:p>
    <w:p>
      <w:pPr>
        <w:spacing w:after="40" w:line="360"/>
      </w:pPr>
      <w:r>
        <w:rPr>
          <w:rFonts w:ascii="Roboto Mono" w:cs="Roboto Mono" w:eastAsia="Roboto Mono" w:hAnsi="Roboto Mono"/>
          <w:color w:val="6B6B6B"/>
          <w:spacing w:val="12"/>
          <w:sz w:val="16"/>
          <w:szCs w:val="16"/>
        </w:rPr>
        <w:t xml:space="preserve">Prepared by  </w:t>
      </w:r>
      <w:r>
        <w:rPr>
          <w:rFonts w:ascii="DM Sans" w:cs="DM Sans" w:eastAsia="DM Sans" w:hAnsi="DM Sans"/>
          <w:color w:val="0A0A0A"/>
          <w:sz w:val="20"/>
          <w:szCs w:val="20"/>
        </w:rPr>
        <w:t xml:space="preserve">Dan Sozanski</w:t>
      </w:r>
    </w:p>
    <w:p>
      <w:pPr>
        <w:spacing w:after="40" w:line="360"/>
      </w:pPr>
      <w:r>
        <w:rPr>
          <w:rFonts w:ascii="DM Sans" w:cs="DM Sans" w:eastAsia="DM Sans" w:hAnsi="DM Sans"/>
          <w:color w:val="6B6B6B"/>
          <w:sz w:val="20"/>
          <w:szCs w:val="20"/>
        </w:rPr>
        <w:t xml:space="preserve">Design &amp; Build   ·   June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titlePg/>
          <w:docGrid w:linePitch="360"/>
        </w:sectPr>
      </w:pPr>
    </w:p>
    <w:p>
      <w:pPr>
        <w:spacing w:after="240" w:line="360"/>
      </w:pPr>
      <w:r>
        <w:rPr>
          <w:rFonts w:ascii="DM Sans" w:cs="DM Sans" w:eastAsia="DM Sans" w:hAnsi="DM Sans"/>
          <w:b/>
          <w:bCs/>
          <w:color w:val="9BB0C9"/>
          <w:sz w:val="20"/>
          <w:szCs w:val="20"/>
        </w:rPr>
        <w:t xml:space="preserve">TL;DR  </w:t>
      </w:r>
      <w:r>
        <w:rPr>
          <w:rFonts w:ascii="DM Sans" w:cs="DM Sans" w:eastAsia="DM Sans" w:hAnsi="DM Sans"/>
          <w:color w:val="0A0A0A"/>
          <w:sz w:val="20"/>
          <w:szCs w:val="20"/>
        </w:rPr>
        <w:t xml:space="preserve">Acme produces a high volume of client-facing collateral with no shared system, so quality drifts and every piece starts from zero. This proposal delivers one design system, a component library, and templates, in three phases over eight weeks.</w:t>
      </w:r>
    </w:p>
    <w:p>
      <w:pPr>
        <w:pStyle w:val="Heading2"/>
      </w:pPr>
      <w:r>
        <w:t xml:space="preserve">Overview</w:t>
      </w:r>
    </w:p>
    <w:p>
      <w:pPr>
        <w:spacing w:after="200" w:line="360"/>
      </w:pPr>
      <w:r>
        <w:rPr>
          <w:rFonts w:ascii="DM Sans" w:cs="DM Sans" w:eastAsia="DM Sans" w:hAnsi="DM Sans"/>
          <w:color w:val="0A0A0A"/>
          <w:sz w:val="20"/>
          <w:szCs w:val="20"/>
        </w:rPr>
        <w:t xml:space="preserve">Acme's teams produce proposals, decks, and reporting dashboards independently. Without shared foundations, each piece is rebuilt by hand, brand consistency erodes, and turnaround stays slow.</w:t>
      </w:r>
    </w:p>
    <w:p>
      <w:pPr>
        <w:spacing w:after="200" w:line="360"/>
      </w:pPr>
      <w:r>
        <w:rPr>
          <w:rFonts w:ascii="DM Sans" w:cs="DM Sans" w:eastAsia="DM Sans" w:hAnsi="DM Sans"/>
          <w:color w:val="0A0A0A"/>
          <w:sz w:val="20"/>
          <w:szCs w:val="20"/>
        </w:rPr>
        <w:t xml:space="preserve">This engagement establishes a single design system, applies it across every surface, and hands over templates and documentation so the team can produce on-brand work without a designer in the loop.</w:t>
      </w:r>
    </w:p>
    <w:p>
      <w:pPr>
        <w:pStyle w:val="Heading2"/>
      </w:pPr>
      <w:r>
        <w:t xml:space="preserve">Scope of work</w:t>
      </w:r>
    </w:p>
    <w:p>
      <w:pPr>
        <w:pStyle w:val="Heading3"/>
      </w:pPr>
      <w:r>
        <w:t xml:space="preserve">Foundations</w:t>
      </w:r>
    </w:p>
    <w:p>
      <w:pPr>
        <w:pStyle w:val="ListParagraph"/>
        <w:numPr>
          <w:ilvl w:val="0"/>
          <w:numId w:val="1"/>
        </w:numPr>
        <w:spacing w:after="240" w:before="240" w:line="276"/>
      </w:pPr>
      <w:r>
        <w:rPr>
          <w:rFonts w:ascii="DM Sans" w:cs="DM Sans" w:eastAsia="DM Sans" w:hAnsi="DM Sans"/>
          <w:color w:val="0A0A0A"/>
          <w:sz w:val="20"/>
          <w:szCs w:val="20"/>
        </w:rPr>
        <w:t xml:space="preserve">Color, type, spacing, and motion tokens, documented in one source of truth.</w:t>
      </w:r>
    </w:p>
    <w:p>
      <w:pPr>
        <w:pStyle w:val="ListParagraph"/>
        <w:numPr>
          <w:ilvl w:val="0"/>
          <w:numId w:val="1"/>
        </w:numPr>
        <w:spacing w:after="240" w:before="240" w:line="276"/>
      </w:pPr>
      <w:r>
        <w:rPr>
          <w:rFonts w:ascii="DM Sans" w:cs="DM Sans" w:eastAsia="DM Sans" w:hAnsi="DM Sans"/>
          <w:color w:val="0A0A0A"/>
          <w:sz w:val="20"/>
          <w:szCs w:val="20"/>
        </w:rPr>
        <w:t xml:space="preserve">A token playground for live tuning and sign-off.</w:t>
      </w:r>
    </w:p>
    <w:p>
      <w:pPr>
        <w:pStyle w:val="Heading3"/>
      </w:pPr>
      <w:r>
        <w:t xml:space="preserve">Component library</w:t>
      </w:r>
    </w:p>
    <w:p>
      <w:pPr>
        <w:pStyle w:val="ListParagraph"/>
        <w:numPr>
          <w:ilvl w:val="0"/>
          <w:numId w:val="1"/>
        </w:numPr>
        <w:spacing w:after="240" w:before="240" w:line="276"/>
      </w:pPr>
      <w:r>
        <w:rPr>
          <w:rFonts w:ascii="DM Sans" w:cs="DM Sans" w:eastAsia="DM Sans" w:hAnsi="DM Sans"/>
          <w:color w:val="0A0A0A"/>
          <w:sz w:val="20"/>
          <w:szCs w:val="20"/>
        </w:rPr>
        <w:t xml:space="preserve">A catalog of production components across actions, forms, data, and feedback.</w:t>
      </w:r>
    </w:p>
    <w:p>
      <w:pPr>
        <w:pStyle w:val="ListParagraph"/>
        <w:numPr>
          <w:ilvl w:val="0"/>
          <w:numId w:val="1"/>
        </w:numPr>
        <w:spacing w:after="240" w:before="240" w:line="276"/>
      </w:pPr>
      <w:r>
        <w:rPr>
          <w:rFonts w:ascii="DM Sans" w:cs="DM Sans" w:eastAsia="DM Sans" w:hAnsi="DM Sans"/>
          <w:color w:val="0A0A0A"/>
          <w:sz w:val="20"/>
          <w:szCs w:val="20"/>
        </w:rPr>
        <w:t xml:space="preserve">Chart and dashboard widgets for interactive reporting.</w:t>
      </w:r>
    </w:p>
    <w:p>
      <w:pPr>
        <w:pStyle w:val="Heading3"/>
      </w:pPr>
      <w:r>
        <w:t xml:space="preserve">Templates and handover</w:t>
      </w:r>
    </w:p>
    <w:p>
      <w:pPr>
        <w:pStyle w:val="ListParagraph"/>
        <w:numPr>
          <w:ilvl w:val="0"/>
          <w:numId w:val="1"/>
        </w:numPr>
        <w:spacing w:after="240" w:before="240" w:line="276"/>
      </w:pPr>
      <w:r>
        <w:rPr>
          <w:rFonts w:ascii="DM Sans" w:cs="DM Sans" w:eastAsia="DM Sans" w:hAnsi="DM Sans"/>
          <w:color w:val="0A0A0A"/>
          <w:sz w:val="20"/>
          <w:szCs w:val="20"/>
        </w:rPr>
        <w:t xml:space="preserve">Proposal, deck, dashboard, and one-sheet templates.</w:t>
      </w:r>
    </w:p>
    <w:p>
      <w:pPr>
        <w:pStyle w:val="ListParagraph"/>
        <w:numPr>
          <w:ilvl w:val="0"/>
          <w:numId w:val="1"/>
        </w:numPr>
        <w:spacing w:after="240" w:before="240" w:line="276"/>
      </w:pPr>
      <w:r>
        <w:rPr>
          <w:rFonts w:ascii="DM Sans" w:cs="DM Sans" w:eastAsia="DM Sans" w:hAnsi="DM Sans"/>
          <w:color w:val="0A0A0A"/>
          <w:sz w:val="20"/>
          <w:szCs w:val="20"/>
        </w:rPr>
        <w:t xml:space="preserve">Documentation and a working session to hand the system to the team.</w:t>
      </w:r>
    </w:p>
    <w:p>
      <w:pPr>
        <w:pStyle w:val="Heading2"/>
      </w:pPr>
      <w:r>
        <w:t xml:space="preserve">Timeline</w:t>
      </w:r>
    </w:p>
    <w:p>
      <w:pPr>
        <w:spacing w:after="160" w:line="360"/>
      </w:pPr>
      <w:r>
        <w:rPr>
          <w:rFonts w:ascii="DM Sans" w:cs="DM Sans" w:eastAsia="DM Sans" w:hAnsi="DM Sans"/>
          <w:b/>
          <w:bCs/>
          <w:color w:val="0A0A0A"/>
          <w:sz w:val="20"/>
          <w:szCs w:val="20"/>
        </w:rPr>
        <w:t xml:space="preserve">Phase 1  </w:t>
      </w:r>
      <w:r>
        <w:rPr>
          <w:rFonts w:ascii="DM Sans" w:cs="DM Sans" w:eastAsia="DM Sans" w:hAnsi="DM Sans"/>
          <w:color w:val="3D3D3D"/>
          <w:sz w:val="20"/>
          <w:szCs w:val="20"/>
        </w:rPr>
        <w:t xml:space="preserve">Foundations and audit</w:t>
      </w:r>
      <w:r>
        <w:rPr>
          <w:rFonts w:ascii="Roboto Mono" w:cs="Roboto Mono" w:eastAsia="Roboto Mono" w:hAnsi="Roboto Mono"/>
          <w:color w:val="6B6B6B"/>
          <w:sz w:val="16"/>
          <w:szCs w:val="16"/>
        </w:rPr>
        <w:t xml:space="preserve">   Weeks 1-2</w:t>
      </w:r>
    </w:p>
    <w:p>
      <w:pPr>
        <w:spacing w:after="160" w:line="360"/>
      </w:pPr>
      <w:r>
        <w:rPr>
          <w:rFonts w:ascii="DM Sans" w:cs="DM Sans" w:eastAsia="DM Sans" w:hAnsi="DM Sans"/>
          <w:b/>
          <w:bCs/>
          <w:color w:val="0A0A0A"/>
          <w:sz w:val="20"/>
          <w:szCs w:val="20"/>
        </w:rPr>
        <w:t xml:space="preserve">Phase 2  </w:t>
      </w:r>
      <w:r>
        <w:rPr>
          <w:rFonts w:ascii="DM Sans" w:cs="DM Sans" w:eastAsia="DM Sans" w:hAnsi="DM Sans"/>
          <w:color w:val="3D3D3D"/>
          <w:sz w:val="20"/>
          <w:szCs w:val="20"/>
        </w:rPr>
        <w:t xml:space="preserve">Component library</w:t>
      </w:r>
      <w:r>
        <w:rPr>
          <w:rFonts w:ascii="Roboto Mono" w:cs="Roboto Mono" w:eastAsia="Roboto Mono" w:hAnsi="Roboto Mono"/>
          <w:color w:val="6B6B6B"/>
          <w:sz w:val="16"/>
          <w:szCs w:val="16"/>
        </w:rPr>
        <w:t xml:space="preserve">   Weeks 3-6</w:t>
      </w:r>
    </w:p>
    <w:p>
      <w:pPr>
        <w:spacing w:after="160" w:line="360"/>
      </w:pPr>
      <w:r>
        <w:rPr>
          <w:rFonts w:ascii="DM Sans" w:cs="DM Sans" w:eastAsia="DM Sans" w:hAnsi="DM Sans"/>
          <w:b/>
          <w:bCs/>
          <w:color w:val="0A0A0A"/>
          <w:sz w:val="20"/>
          <w:szCs w:val="20"/>
        </w:rPr>
        <w:t xml:space="preserve">Phase 3  </w:t>
      </w:r>
      <w:r>
        <w:rPr>
          <w:rFonts w:ascii="DM Sans" w:cs="DM Sans" w:eastAsia="DM Sans" w:hAnsi="DM Sans"/>
          <w:color w:val="3D3D3D"/>
          <w:sz w:val="20"/>
          <w:szCs w:val="20"/>
        </w:rPr>
        <w:t xml:space="preserve">Templates and handover</w:t>
      </w:r>
      <w:r>
        <w:rPr>
          <w:rFonts w:ascii="Roboto Mono" w:cs="Roboto Mono" w:eastAsia="Roboto Mono" w:hAnsi="Roboto Mono"/>
          <w:color w:val="6B6B6B"/>
          <w:sz w:val="16"/>
          <w:szCs w:val="16"/>
        </w:rPr>
        <w:t xml:space="preserve">   Weeks 7-8</w:t>
      </w:r>
    </w:p>
    <w:p>
      <w:pPr>
        <w:pStyle w:val="Heading2"/>
      </w:pPr>
      <w:r>
        <w:t xml:space="preserve">Investment</w:t>
      </w:r>
    </w:p>
    <w:tbl>
      <w:tblPr>
        <w:tblW w:type="pct" w:w="100%"/>
        <w:tblBorders>
          <w:top w:val="single" w:color="E5E5E5" w:sz="6"/>
          <w:left w:val="none" w:color="FFFFFF" w:sz="0"/>
          <w:bottom w:val="single" w:color="E5E5E5" w:sz="6"/>
          <w:right w:val="none" w:color="FFFFFF" w:sz="0"/>
          <w:insideH w:val="single" w:color="E5E5E5" w:sz="6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shd w:fill="F2F1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</w:pPr>
            <w:r>
              <w:rPr>
                <w:rFonts w:ascii="Roboto Mono" w:cs="Roboto Mono" w:eastAsia="Roboto Mono" w:hAnsi="Roboto Mono"/>
                <w:color w:val="3D3D3D"/>
                <w:spacing w:val="12"/>
                <w:sz w:val="16"/>
                <w:szCs w:val="16"/>
              </w:rPr>
              <w:t xml:space="preserve">ITEM</w:t>
            </w:r>
          </w:p>
        </w:tc>
        <w:tc>
          <w:tcPr>
            <w:tcW w:type="pct" w:w="44%"/>
            <w:shd w:fill="F2F1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</w:pPr>
            <w:r>
              <w:rPr>
                <w:rFonts w:ascii="Roboto Mono" w:cs="Roboto Mono" w:eastAsia="Roboto Mono" w:hAnsi="Roboto Mono"/>
                <w:color w:val="3D3D3D"/>
                <w:spacing w:val="12"/>
                <w:sz w:val="16"/>
                <w:szCs w:val="16"/>
              </w:rPr>
              <w:t xml:space="preserve">DETAIL</w:t>
            </w:r>
          </w:p>
        </w:tc>
        <w:tc>
          <w:tcPr>
            <w:tcW w:type="pct" w:w="24%"/>
            <w:shd w:fill="F2F1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right"/>
            </w:pPr>
            <w:r>
              <w:rPr>
                <w:rFonts w:ascii="Roboto Mono" w:cs="Roboto Mono" w:eastAsia="Roboto Mono" w:hAnsi="Roboto Mono"/>
                <w:color w:val="3D3D3D"/>
                <w:spacing w:val="12"/>
                <w:sz w:val="16"/>
                <w:szCs w:val="16"/>
              </w:rPr>
              <w:t xml:space="preserve">AMOUNT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</w:pPr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Foundations</w:t>
            </w:r>
          </w:p>
        </w:tc>
        <w:tc>
          <w:tcPr>
            <w:tcW w:type="pct" w:w="4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</w:pPr>
            <w:r>
              <w:rPr>
                <w:rFonts w:ascii="DM Sans" w:cs="DM Sans" w:eastAsia="DM Sans" w:hAnsi="DM Sans"/>
                <w:color w:val="3D3D3D"/>
                <w:sz w:val="20"/>
                <w:szCs w:val="20"/>
              </w:rPr>
              <w:t xml:space="preserve">Tokens, audit, playground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right"/>
            </w:pPr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$6,000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</w:pPr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Component library</w:t>
            </w:r>
          </w:p>
        </w:tc>
        <w:tc>
          <w:tcPr>
            <w:tcW w:type="pct" w:w="4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</w:pPr>
            <w:r>
              <w:rPr>
                <w:rFonts w:ascii="DM Sans" w:cs="DM Sans" w:eastAsia="DM Sans" w:hAnsi="DM Sans"/>
                <w:color w:val="3D3D3D"/>
                <w:sz w:val="20"/>
                <w:szCs w:val="20"/>
              </w:rPr>
              <w:t xml:space="preserve">Catalog + chart widgets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right"/>
            </w:pPr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$14,000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</w:pPr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Templates &amp; handover</w:t>
            </w:r>
          </w:p>
        </w:tc>
        <w:tc>
          <w:tcPr>
            <w:tcW w:type="pct" w:w="4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</w:pPr>
            <w:r>
              <w:rPr>
                <w:rFonts w:ascii="DM Sans" w:cs="DM Sans" w:eastAsia="DM Sans" w:hAnsi="DM Sans"/>
                <w:color w:val="3D3D3D"/>
                <w:sz w:val="20"/>
                <w:szCs w:val="20"/>
              </w:rPr>
              <w:t xml:space="preserve">Templates, docs, session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right"/>
            </w:pPr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$8,000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</w:pPr>
            <w:r>
              <w:rPr>
                <w:rFonts w:ascii="DM Sans" w:cs="DM Sans" w:eastAsia="DM Sans" w:hAnsi="DM Sans"/>
                <w:b/>
                <w:bCs/>
                <w:color w:val="0A0A0A"/>
                <w:sz w:val="20"/>
                <w:szCs w:val="20"/>
              </w:rPr>
              <w:t xml:space="preserve">Total</w:t>
            </w:r>
          </w:p>
        </w:tc>
        <w:tc>
          <w:tcPr>
            <w:tcW w:type="pct" w:w="4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</w:pPr>
            <w:r>
              <w:rPr>
                <w:rFonts w:ascii="DM Sans" w:cs="DM Sans" w:eastAsia="DM Sans" w:hAnsi="DM Sans"/>
                <w:color w:val="6B6B6B"/>
                <w:sz w:val="20"/>
                <w:szCs w:val="20"/>
              </w:rPr>
              <w:t xml:space="preserve">Fixed fee, 50% to start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  <w:jc w:val="right"/>
            </w:pPr>
            <w:r>
              <w:rPr>
                <w:rFonts w:ascii="DM Sans" w:cs="DM Sans" w:eastAsia="DM Sans" w:hAnsi="DM Sans"/>
                <w:b/>
                <w:bCs/>
                <w:color w:val="0A0A0A"/>
                <w:sz w:val="20"/>
                <w:szCs w:val="20"/>
              </w:rPr>
              <w:t xml:space="preserve">$28,000</w:t>
            </w:r>
          </w:p>
        </w:tc>
      </w:tr>
    </w:tbl>
    <w:p>
      <w:pPr>
        <w:spacing w:after="160"/>
      </w:pPr>
    </w:p>
    <w:p>
      <w:pPr>
        <w:spacing w:before="120" w:line="360"/>
      </w:pPr>
      <w:r>
        <w:rPr>
          <w:rFonts w:ascii="DM Sans" w:cs="DM Sans" w:eastAsia="DM Sans" w:hAnsi="DM Sans"/>
          <w:color w:val="6B6B6B"/>
          <w:sz w:val="18"/>
          <w:szCs w:val="18"/>
        </w:rPr>
        <w:t xml:space="preserve">Fixed fee. The amount above is the whole engagement, not an estimate.</w:t>
      </w:r>
    </w:p>
    <w:p>
      <w:pPr>
        <w:pStyle w:val="Heading2"/>
      </w:pPr>
      <w:r>
        <w:t xml:space="preserve">Terms</w:t>
      </w:r>
    </w:p>
    <w:p>
      <w:pPr>
        <w:spacing w:after="200" w:line="360"/>
      </w:pPr>
      <w:r>
        <w:rPr>
          <w:rFonts w:ascii="DM Sans" w:cs="DM Sans" w:eastAsia="DM Sans" w:hAnsi="DM Sans"/>
          <w:color w:val="0A0A0A"/>
          <w:sz w:val="20"/>
          <w:szCs w:val="20"/>
        </w:rPr>
        <w:t xml:space="preserve">Fixed fee, billed 50% on signature and 50% on delivery. Timeline assumes one round of consolidated feedback per phase. Either party may pause with two weeks' notice. Licensed fonts are the client's responsibility.</w:t>
      </w:r>
    </w:p>
    <w:p>
      <w:pPr>
        <w:pStyle w:val="Heading2"/>
      </w:pPr>
      <w:r>
        <w:t xml:space="preserve">Sign-off</w:t>
      </w:r>
    </w:p>
    <w:p>
      <w:pPr>
        <w:spacing w:after="16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80"/>
        <w:gridCol w:w="4680"/>
      </w:tblGrid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E5E5E5" w:sz="6" w:space="1"/>
              </w:pBdr>
              <w:spacing w:after="60" w:before="480"/>
            </w:pPr>
          </w:p>
          <w:p>
            <w:pPr>
              <w:spacing w:line="360"/>
            </w:pPr>
            <w:r>
              <w:rPr>
                <w:rFonts w:ascii="Roboto Mono" w:cs="Roboto Mono" w:eastAsia="Roboto Mono" w:hAnsi="Roboto Mono"/>
                <w:color w:val="6B6B6B"/>
                <w:spacing w:val="12"/>
                <w:sz w:val="16"/>
                <w:szCs w:val="16"/>
              </w:rPr>
              <w:t xml:space="preserve">FOR ACME CO.</w:t>
            </w:r>
          </w:p>
          <w:p>
            <w:pPr>
              <w:spacing w:line="360"/>
            </w:pPr>
            <w:r>
              <w:rPr>
                <w:rFonts w:ascii="DM Sans" w:cs="DM Sans" w:eastAsia="DM Sans" w:hAnsi="DM Sans"/>
                <w:color w:val="6B6B6B"/>
                <w:sz w:val="18"/>
                <w:szCs w:val="18"/>
              </w:rPr>
              <w:t xml:space="preserve">Signature, name, date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E5E5E5" w:sz="6" w:space="1"/>
              </w:pBdr>
              <w:spacing w:after="60" w:before="480"/>
            </w:pPr>
          </w:p>
          <w:p>
            <w:pPr>
              <w:spacing w:line="360"/>
            </w:pPr>
            <w:r>
              <w:rPr>
                <w:rFonts w:ascii="Roboto Mono" w:cs="Roboto Mono" w:eastAsia="Roboto Mono" w:hAnsi="Roboto Mono"/>
                <w:color w:val="6B6B6B"/>
                <w:spacing w:val="12"/>
                <w:sz w:val="16"/>
                <w:szCs w:val="16"/>
              </w:rPr>
              <w:t xml:space="preserve">FOR DAN SOZANSKI</w:t>
            </w:r>
          </w:p>
          <w:p>
            <w:pPr>
              <w:spacing w:line="360"/>
            </w:pPr>
            <w:r>
              <w:rPr>
                <w:rFonts w:ascii="DM Sans" w:cs="DM Sans" w:eastAsia="DM Sans" w:hAnsi="DM Sans"/>
                <w:color w:val="6B6B6B"/>
                <w:sz w:val="18"/>
                <w:szCs w:val="18"/>
              </w:rPr>
              <w:t xml:space="preserve">Signature, name, date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Roboto Mono" w:cs="Roboto Mono" w:eastAsia="Roboto Mono" w:hAnsi="Roboto Mono"/>
        <w:color w:val="6B6B6B"/>
        <w:spacing w:val="12"/>
        <w:sz w:val="16"/>
        <w:szCs w:val="16"/>
      </w:rPr>
      <w:t xml:space="preserve">Dan Sozanski · Acme Co. Engagement Proposal</w:t>
    </w:r>
    <w:r>
      <w:rPr>
        <w:rFonts w:ascii="Roboto Mono" w:cs="Roboto Mono" w:eastAsia="Roboto Mono" w:hAnsi="Roboto Mono"/>
      </w:rPr>
      <w:t xml:space="preserve">	</w:t>
    </w:r>
    <w:r>
      <w:rPr>
        <w:rFonts w:ascii="Roboto Mono" w:cs="Roboto Mono" w:eastAsia="Roboto Mono" w:hAnsi="Roboto Mono"/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color w:val="0A0A0A"/>
        <w:sz w:val="20"/>
        <w:szCs w:val="20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00" w:line="360"/>
    </w:pPr>
    <w:rPr>
      <w:rFonts w:ascii="Instrument Serif" w:cs="Instrument Serif" w:eastAsia="Instrument Serif" w:hAnsi="Instrument Serif"/>
      <w:color w:val="0A0A0A"/>
      <w:sz w:val="64"/>
      <w:szCs w:val="64"/>
    </w:rPr>
  </w:style>
  <w:style w:type="paragraph" w:styleId="Subtitle">
    <w:name w:val="Subtitle"/>
    <w:basedOn w:val="Normal"/>
    <w:next w:val="Normal"/>
    <w:qFormat/>
    <w:pPr>
      <w:spacing w:after="200" w:line="360"/>
    </w:pPr>
    <w:rPr>
      <w:rFonts w:ascii="Instrument Serif" w:cs="Instrument Serif" w:eastAsia="Instrument Serif" w:hAnsi="Instrument Serif"/>
      <w:color w:val="3D3D3D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160" w:before="360" w:line="360"/>
    </w:pPr>
    <w:rPr>
      <w:rFonts w:ascii="Instrument Serif" w:cs="Instrument Serif" w:eastAsia="Instrument Serif" w:hAnsi="Instrument Serif"/>
      <w:color w:val="0A0A0A"/>
      <w:sz w:val="48"/>
      <w:szCs w:val="48"/>
    </w:rPr>
  </w:style>
  <w:style w:type="paragraph" w:styleId="Heading2">
    <w:name w:val="Heading 2"/>
    <w:basedOn w:val="Normal"/>
    <w:next w:val="Normal"/>
    <w:qFormat/>
    <w:pPr>
      <w:spacing w:after="120" w:before="360" w:line="360"/>
    </w:pPr>
    <w:rPr>
      <w:rFonts w:ascii="Instrument Serif" w:cs="Instrument Serif" w:eastAsia="Instrument Serif" w:hAnsi="Instrument Serif"/>
      <w:color w:val="0A0A0A"/>
      <w:sz w:val="40"/>
      <w:szCs w:val="40"/>
    </w:rPr>
  </w:style>
  <w:style w:type="paragraph" w:styleId="Heading3">
    <w:name w:val="Heading 3"/>
    <w:basedOn w:val="Normal"/>
    <w:next w:val="Normal"/>
    <w:qFormat/>
    <w:pPr>
      <w:spacing w:after="80" w:before="200" w:line="360"/>
    </w:pPr>
    <w:rPr>
      <w:rFonts w:ascii="DM Sans" w:cs="DM Sans" w:eastAsia="DM Sans" w:hAnsi="DM Sans"/>
      <w:color w:val="0A0A0A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 w:line="360"/>
    </w:pPr>
    <w:rPr>
      <w:rFonts w:ascii="DM Sans" w:cs="DM Sans" w:eastAsia="DM Sans" w:hAnsi="DM Sans"/>
      <w:b/>
      <w:bCs/>
      <w:color w:val="0A0A0A"/>
      <w:sz w:val="22"/>
      <w:szCs w:val="22"/>
    </w:rPr>
  </w:style>
  <w:style w:type="paragraph" w:styleId="Heading5">
    <w:name w:val="Heading 5"/>
    <w:basedOn w:val="Normal"/>
    <w:next w:val="Normal"/>
    <w:qFormat/>
    <w:pPr>
      <w:spacing w:after="60" w:before="160" w:line="360"/>
    </w:pPr>
    <w:rPr>
      <w:rFonts w:ascii="Roboto Mono" w:cs="Roboto Mono" w:eastAsia="Roboto Mono" w:hAnsi="Roboto Mono"/>
      <w:caps/>
      <w:color w:val="6B6B6B"/>
      <w:spacing w:val="12"/>
      <w:sz w:val="16"/>
      <w:szCs w:val="1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Acme Co. Engagement Proposal</dc:title>
  <dc:creator>Dan Sozanski</dc:creator>
  <cp:lastModifiedBy>Un-named</cp:lastModifiedBy>
  <cp:revision>1</cp:revision>
  <dcterms:created xsi:type="dcterms:W3CDTF">2026-06-15T02:06:31.690Z</dcterms:created>
  <dcterms:modified xsi:type="dcterms:W3CDTF">2026-06-15T02:06:31.691Z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