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20"/>
        </w:rPr>
        <w:t>AUDIT PROGRAMME — ADVANCES (FUND-BASED &amp; NON-FUND-BASED)</w:t>
      </w:r>
    </w:p>
    <w:p>
      <w:pPr>
        <w:jc w:val="center"/>
      </w:pPr>
      <w:r>
        <w:rPr>
          <w:rFonts w:ascii="Arial" w:hAnsi="Arial"/>
          <w:b w:val="0"/>
          <w:i w:val="0"/>
          <w:sz w:val="18"/>
        </w:rPr>
        <w:t>BK.ADV.00  |  Framework: AS  |  Governing: ICAI GN on Audit of Banks (2025 Edition); RBI IRAC Norms; Banking Regulation Act 1949</w:t>
      </w:r>
    </w:p>
    <w:p>
      <w:pPr>
        <w:jc w:val="center"/>
      </w:pPr>
      <w:r>
        <w:rPr>
          <w:rFonts w:ascii="Arial" w:hAnsi="Arial"/>
          <w:b w:val="0"/>
          <w:i/>
          <w:sz w:val="18"/>
        </w:rPr>
        <w:t>ICAI Reference: Nearest ICAI Ch. 3 — 3.12 / 3.7 — Loans, Borrowings &amp; Trade Receivables (adapted for bank advances per ICAI GN on Audit of Banks 2025)</w:t>
      </w:r>
    </w:p>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gridCol w:w="1081"/>
        <w:gridCol w:w="1081"/>
        <w:gridCol w:w="1081"/>
        <w:gridCol w:w="1081"/>
        <w:gridCol w:w="1081"/>
        <w:gridCol w:w="1081"/>
      </w:tblGrid>
      <w:tr>
        <w:tc>
          <w:tcPr>
            <w:tcW w:type="dxa" w:w="680"/>
            <w:shd w:val="clear" w:color="auto" w:fill="D5E8F0"/>
            <w:vAlign w:val="top"/>
          </w:tcPr>
          <w:p>
            <w:r>
              <w:rPr>
                <w:rFonts w:ascii="Arial" w:hAnsi="Arial"/>
                <w:b/>
                <w:i w:val="0"/>
                <w:sz w:val="18"/>
              </w:rPr>
              <w:t>Sr. No.</w:t>
            </w:r>
          </w:p>
        </w:tc>
        <w:tc>
          <w:tcPr>
            <w:tcW w:type="dxa" w:w="1417"/>
            <w:shd w:val="clear" w:color="auto" w:fill="D5E8F0"/>
            <w:vAlign w:val="top"/>
          </w:tcPr>
          <w:p>
            <w:r>
              <w:rPr>
                <w:rFonts w:ascii="Arial" w:hAnsi="Arial"/>
                <w:b/>
                <w:i w:val="0"/>
                <w:sz w:val="18"/>
              </w:rPr>
              <w:t>Audit Area</w:t>
            </w:r>
          </w:p>
        </w:tc>
        <w:tc>
          <w:tcPr>
            <w:tcW w:type="dxa" w:w="1020"/>
            <w:shd w:val="clear" w:color="auto" w:fill="D5E8F0"/>
            <w:vAlign w:val="top"/>
          </w:tcPr>
          <w:p>
            <w:r>
              <w:rPr>
                <w:rFonts w:ascii="Arial" w:hAnsi="Arial"/>
                <w:b/>
                <w:i w:val="0"/>
                <w:sz w:val="18"/>
              </w:rPr>
              <w:t>Assertions</w:t>
            </w:r>
          </w:p>
        </w:tc>
        <w:tc>
          <w:tcPr>
            <w:tcW w:type="dxa" w:w="1701"/>
            <w:shd w:val="clear" w:color="auto" w:fill="D5E8F0"/>
            <w:vAlign w:val="top"/>
          </w:tcPr>
          <w:p>
            <w:r>
              <w:rPr>
                <w:rFonts w:ascii="Arial" w:hAnsi="Arial"/>
                <w:b/>
                <w:i w:val="0"/>
                <w:sz w:val="18"/>
              </w:rPr>
              <w:t>Risk Description</w:t>
            </w:r>
          </w:p>
        </w:tc>
        <w:tc>
          <w:tcPr>
            <w:tcW w:type="dxa" w:w="1247"/>
            <w:shd w:val="clear" w:color="auto" w:fill="D5E8F0"/>
            <w:vAlign w:val="top"/>
          </w:tcPr>
          <w:p>
            <w:r>
              <w:rPr>
                <w:rFonts w:ascii="Arial" w:hAnsi="Arial"/>
                <w:b/>
                <w:i w:val="0"/>
                <w:sz w:val="18"/>
              </w:rPr>
              <w:t>Risk Level</w:t>
            </w:r>
          </w:p>
        </w:tc>
        <w:tc>
          <w:tcPr>
            <w:tcW w:type="dxa" w:w="1020"/>
            <w:shd w:val="clear" w:color="auto" w:fill="D5E8F0"/>
            <w:vAlign w:val="top"/>
          </w:tcPr>
          <w:p>
            <w:r>
              <w:rPr>
                <w:rFonts w:ascii="Arial" w:hAnsi="Arial"/>
                <w:b/>
                <w:i w:val="0"/>
                <w:sz w:val="18"/>
              </w:rPr>
              <w:t>Proc. Type</w:t>
            </w:r>
          </w:p>
        </w:tc>
        <w:tc>
          <w:tcPr>
            <w:tcW w:type="dxa" w:w="3402"/>
            <w:shd w:val="clear" w:color="auto" w:fill="D5E8F0"/>
            <w:vAlign w:val="top"/>
          </w:tcPr>
          <w:p>
            <w:r>
              <w:rPr>
                <w:rFonts w:ascii="Arial" w:hAnsi="Arial"/>
                <w:b/>
                <w:i w:val="0"/>
                <w:sz w:val="18"/>
              </w:rPr>
              <w:t>Detailed Procedure</w:t>
            </w:r>
          </w:p>
        </w:tc>
        <w:tc>
          <w:tcPr>
            <w:tcW w:type="dxa" w:w="1417"/>
            <w:shd w:val="clear" w:color="auto" w:fill="D5E8F0"/>
            <w:vAlign w:val="top"/>
          </w:tcPr>
          <w:p>
            <w:r>
              <w:rPr>
                <w:rFonts w:ascii="Arial" w:hAnsi="Arial"/>
                <w:b/>
                <w:i w:val="0"/>
                <w:sz w:val="18"/>
              </w:rPr>
              <w:t>SA Reference</w:t>
            </w:r>
          </w:p>
        </w:tc>
        <w:tc>
          <w:tcPr>
            <w:tcW w:type="dxa" w:w="1417"/>
            <w:shd w:val="clear" w:color="auto" w:fill="D5E8F0"/>
            <w:vAlign w:val="top"/>
          </w:tcPr>
          <w:p>
            <w:r>
              <w:rPr>
                <w:rFonts w:ascii="Arial" w:hAnsi="Arial"/>
                <w:b/>
                <w:i w:val="0"/>
                <w:sz w:val="18"/>
              </w:rPr>
              <w:t>AS Reference</w:t>
            </w:r>
          </w:p>
        </w:tc>
        <w:tc>
          <w:tcPr>
            <w:tcW w:type="dxa" w:w="1417"/>
            <w:shd w:val="clear" w:color="auto" w:fill="D5E8F0"/>
            <w:vAlign w:val="top"/>
          </w:tcPr>
          <w:p>
            <w:r>
              <w:rPr>
                <w:rFonts w:ascii="Arial" w:hAnsi="Arial"/>
                <w:b/>
                <w:i w:val="0"/>
                <w:sz w:val="18"/>
              </w:rPr>
              <w:t>ICAI Template Ref</w:t>
            </w:r>
          </w:p>
        </w:tc>
        <w:tc>
          <w:tcPr>
            <w:tcW w:type="dxa" w:w="1417"/>
            <w:shd w:val="clear" w:color="auto" w:fill="D5E8F0"/>
            <w:vAlign w:val="top"/>
          </w:tcPr>
          <w:p>
            <w:r>
              <w:rPr>
                <w:rFonts w:ascii="Arial" w:hAnsi="Arial"/>
                <w:b/>
                <w:i w:val="0"/>
                <w:sz w:val="18"/>
              </w:rPr>
              <w:t>Tool Reference</w:t>
            </w:r>
          </w:p>
        </w:tc>
        <w:tc>
          <w:tcPr>
            <w:tcW w:type="dxa" w:w="850"/>
            <w:shd w:val="clear" w:color="auto" w:fill="D5E8F0"/>
            <w:vAlign w:val="top"/>
          </w:tcPr>
          <w:p>
            <w:r>
              <w:rPr>
                <w:rFonts w:ascii="Arial" w:hAnsi="Arial"/>
                <w:b/>
                <w:i w:val="0"/>
                <w:sz w:val="18"/>
              </w:rPr>
              <w:t>WP Ref</w:t>
            </w:r>
          </w:p>
        </w:tc>
        <w:tc>
          <w:tcPr>
            <w:tcW w:type="dxa" w:w="1134"/>
            <w:shd w:val="clear" w:color="auto" w:fill="D5E8F0"/>
            <w:vAlign w:val="top"/>
          </w:tcPr>
          <w:p>
            <w:r>
              <w:rPr>
                <w:rFonts w:ascii="Arial" w:hAnsi="Arial"/>
                <w:b/>
                <w:i w:val="0"/>
                <w:sz w:val="18"/>
              </w:rPr>
              <w:t>Done By / Date</w:t>
            </w:r>
          </w:p>
        </w:tc>
        <w:tc>
          <w:tcPr>
            <w:tcW w:type="dxa" w:w="1134"/>
            <w:shd w:val="clear" w:color="auto" w:fill="D5E8F0"/>
            <w:vAlign w:val="top"/>
          </w:tcPr>
          <w:p>
            <w:r>
              <w:rPr>
                <w:rFonts w:ascii="Arial" w:hAnsi="Arial"/>
                <w:b/>
                <w:i w:val="0"/>
                <w:sz w:val="18"/>
              </w:rPr>
              <w:t>Reviewed By / Date</w:t>
            </w:r>
          </w:p>
        </w:tc>
      </w:tr>
      <w:tr>
        <w:tc>
          <w:tcPr>
            <w:tcW w:type="dxa" w:w="680"/>
            <w:vAlign w:val="top"/>
          </w:tcPr>
          <w:p>
            <w:r>
              <w:rPr>
                <w:rFonts w:ascii="Arial" w:hAnsi="Arial"/>
                <w:b w:val="0"/>
                <w:i w:val="0"/>
                <w:sz w:val="18"/>
              </w:rPr>
              <w:t>ADV-001</w:t>
            </w:r>
          </w:p>
        </w:tc>
        <w:tc>
          <w:tcPr>
            <w:tcW w:type="dxa" w:w="1417"/>
            <w:vAlign w:val="top"/>
          </w:tcPr>
          <w:p>
            <w:r>
              <w:rPr>
                <w:rFonts w:ascii="Arial" w:hAnsi="Arial"/>
                <w:b w:val="0"/>
                <w:i w:val="0"/>
                <w:sz w:val="18"/>
              </w:rPr>
              <w:t>Advances — Lead Schedule &amp; Opening Balance</w:t>
            </w:r>
          </w:p>
        </w:tc>
        <w:tc>
          <w:tcPr>
            <w:tcW w:type="dxa" w:w="1020"/>
            <w:vAlign w:val="top"/>
          </w:tcPr>
          <w:p>
            <w:r>
              <w:rPr>
                <w:rFonts w:ascii="Arial" w:hAnsi="Arial"/>
                <w:b w:val="0"/>
                <w:i w:val="0"/>
                <w:sz w:val="18"/>
              </w:rPr>
              <w:t>[EXI, COM, VAL]</w:t>
            </w:r>
          </w:p>
        </w:tc>
        <w:tc>
          <w:tcPr>
            <w:tcW w:type="dxa" w:w="1701"/>
            <w:vAlign w:val="top"/>
          </w:tcPr>
          <w:p>
            <w:r>
              <w:rPr>
                <w:rFonts w:ascii="Arial" w:hAnsi="Arial"/>
                <w:b w:val="0"/>
                <w:i w:val="0"/>
                <w:sz w:val="18"/>
              </w:rPr>
              <w:t>Risk that the advances lead schedule does not agree to the GL or that opening balances have not been correctly brought forward, leading to undetected misstatement in the advances portfolio total.</w:t>
            </w:r>
          </w:p>
        </w:tc>
        <w:tc>
          <w:tcPr>
            <w:tcW w:type="dxa" w:w="1247"/>
            <w:vAlign w:val="top"/>
          </w:tcPr>
          <w:p>
            <w:r>
              <w:rPr>
                <w:rFonts w:ascii="Arial" w:hAnsi="Arial"/>
                <w:b w:val="0"/>
                <w:i w:val="0"/>
                <w:sz w:val="18"/>
              </w:rPr>
              <w:t>Medium (Routine reconciliation step; risk arises only if prior-year audit adjustments were not incorporated — SA 510 Para 6).</w:t>
            </w:r>
          </w:p>
        </w:tc>
        <w:tc>
          <w:tcPr>
            <w:tcW w:type="dxa" w:w="1020"/>
            <w:vAlign w:val="top"/>
          </w:tcPr>
          <w:p>
            <w:r>
              <w:rPr>
                <w:rFonts w:ascii="Arial" w:hAnsi="Arial"/>
                <w:b w:val="0"/>
                <w:i w:val="0"/>
                <w:sz w:val="18"/>
              </w:rPr>
              <w:t>Substantive (ToD)</w:t>
            </w:r>
          </w:p>
        </w:tc>
        <w:tc>
          <w:tcPr>
            <w:tcW w:type="dxa" w:w="3402"/>
            <w:vAlign w:val="top"/>
          </w:tcPr>
          <w:p>
            <w:r>
              <w:rPr>
                <w:rFonts w:ascii="Arial" w:hAnsi="Arial"/>
                <w:b w:val="0"/>
                <w:i w:val="0"/>
                <w:sz w:val="18"/>
              </w:rPr>
              <w:t>Obtain the advances lead schedule as at the balance sheet date from the CBS (Core Banking System). Agree the total fund-based (loans, cash credit, overdraft, term loans) and non-fund-based (LC, BG, co-acceptance) balances on the schedule to: (a) the GL trial balance as at the same date; and (b) the prior-year audited closing balance per the prior-year audit file.</w:t>
              <w:br/>
              <w:br/>
              <w:t>Expected outcome: Lead schedule foot and cross-foots; GL agrees to schedule totals within ₹0 difference; opening balance agrees to prior-year closing balance.</w:t>
              <w:br/>
              <w:t>Exception protocol: Any difference to be escalated to the engagement manager; request reconciliation from the bank's F&amp;A department; do not proceed to substantive testing until resolved.</w:t>
              <w:br/>
              <w:t>Assertion: [EXI, COM, VAL]. Reference: SA 510, Para 6–9; SA 500, Para 7; AS 5, Para 6.</w:t>
            </w:r>
          </w:p>
        </w:tc>
        <w:tc>
          <w:tcPr>
            <w:tcW w:type="dxa" w:w="1417"/>
            <w:vAlign w:val="top"/>
          </w:tcPr>
          <w:p>
            <w:r>
              <w:rPr>
                <w:rFonts w:ascii="Arial" w:hAnsi="Arial"/>
                <w:b w:val="0"/>
                <w:i w:val="0"/>
                <w:sz w:val="18"/>
              </w:rPr>
              <w:t>SA 510, Para 6–9; SA 500, Para 7</w:t>
            </w:r>
          </w:p>
        </w:tc>
        <w:tc>
          <w:tcPr>
            <w:tcW w:type="dxa" w:w="1417"/>
            <w:vAlign w:val="top"/>
          </w:tcPr>
          <w:p>
            <w:r>
              <w:rPr>
                <w:rFonts w:ascii="Arial" w:hAnsi="Arial"/>
                <w:b w:val="0"/>
                <w:i w:val="0"/>
                <w:sz w:val="18"/>
              </w:rPr>
              <w:t>AS 5, Para 6 (Prior Period Items); ICAI GN on Audit of Banks 2025, Chapter 5</w:t>
            </w:r>
          </w:p>
        </w:tc>
        <w:tc>
          <w:tcPr>
            <w:tcW w:type="dxa" w:w="1417"/>
            <w:vAlign w:val="top"/>
          </w:tcPr>
          <w:p>
            <w:r>
              <w:rPr>
                <w:rFonts w:ascii="Arial" w:hAnsi="Arial"/>
                <w:b w:val="0"/>
                <w:i w:val="0"/>
                <w:sz w:val="18"/>
              </w:rPr>
              <w:t>Nearest ICAI reference — ICAI Ch. 3 — 3.12 / 3.7 — Loans, Borrowings &amp; Receivables (adapted for bank advances per ICAI GN on Audit of Banks 2025)</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WP-ADV-01</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ADV-002</w:t>
            </w:r>
          </w:p>
        </w:tc>
        <w:tc>
          <w:tcPr>
            <w:tcW w:type="dxa" w:w="1417"/>
            <w:vAlign w:val="top"/>
          </w:tcPr>
          <w:p>
            <w:r>
              <w:rPr>
                <w:rFonts w:ascii="Arial" w:hAnsi="Arial"/>
                <w:b w:val="0"/>
                <w:i w:val="0"/>
                <w:sz w:val="18"/>
              </w:rPr>
              <w:t>Advances — Analytical Procedures (Portfolio-Level)</w:t>
            </w:r>
          </w:p>
        </w:tc>
        <w:tc>
          <w:tcPr>
            <w:tcW w:type="dxa" w:w="1020"/>
            <w:vAlign w:val="top"/>
          </w:tcPr>
          <w:p>
            <w:r>
              <w:rPr>
                <w:rFonts w:ascii="Arial" w:hAnsi="Arial"/>
                <w:b w:val="0"/>
                <w:i w:val="0"/>
                <w:sz w:val="18"/>
              </w:rPr>
              <w:t>[OCC, COM, ACC]</w:t>
            </w:r>
          </w:p>
        </w:tc>
        <w:tc>
          <w:tcPr>
            <w:tcW w:type="dxa" w:w="1701"/>
            <w:vAlign w:val="top"/>
          </w:tcPr>
          <w:p>
            <w:r>
              <w:rPr>
                <w:rFonts w:ascii="Arial" w:hAnsi="Arial"/>
                <w:b w:val="0"/>
                <w:i w:val="0"/>
                <w:sz w:val="18"/>
              </w:rPr>
              <w:t>Risk that significant movements in the advances portfolio (growth, sector shifts, NPA migration) are not identified as indicators of misstatement or emerging credit risk, particularly for year-end window-dressing of NPA classification.</w:t>
            </w:r>
          </w:p>
        </w:tc>
        <w:tc>
          <w:tcPr>
            <w:tcW w:type="dxa" w:w="1247"/>
            <w:vAlign w:val="top"/>
          </w:tcPr>
          <w:p>
            <w:r>
              <w:rPr>
                <w:rFonts w:ascii="Arial" w:hAnsi="Arial"/>
                <w:b w:val="0"/>
                <w:i w:val="0"/>
                <w:sz w:val="18"/>
              </w:rPr>
              <w:t>High (Advances are the largest asset for most banks; NPA classification is a significant risk per SA 315 Para 28 and ICAI GN on Audit of Banks 2025 Chapter 6).</w:t>
            </w:r>
          </w:p>
        </w:tc>
        <w:tc>
          <w:tcPr>
            <w:tcW w:type="dxa" w:w="1020"/>
            <w:vAlign w:val="top"/>
          </w:tcPr>
          <w:p>
            <w:r>
              <w:rPr>
                <w:rFonts w:ascii="Arial" w:hAnsi="Arial"/>
                <w:b w:val="0"/>
                <w:i w:val="0"/>
                <w:sz w:val="18"/>
              </w:rPr>
              <w:t>AP</w:t>
            </w:r>
          </w:p>
        </w:tc>
        <w:tc>
          <w:tcPr>
            <w:tcW w:type="dxa" w:w="3402"/>
            <w:vAlign w:val="top"/>
          </w:tcPr>
          <w:p>
            <w:r>
              <w:rPr>
                <w:rFonts w:ascii="Arial" w:hAnsi="Arial"/>
                <w:b w:val="0"/>
                <w:i w:val="0"/>
                <w:sz w:val="18"/>
              </w:rPr>
              <w:t>Develop an independent expectation for advances portfolio composition using: (a) prior-year advances portfolio by type (fund-based / non-fund-based, secured / unsecured, sector-wise), (b) RBI sectoral credit growth data for the year, (c) bank's own credit policy and board-approved targets.</w:t>
              <w:br/>
              <w:br/>
              <w:t>Compare the current-year portfolio composition (sector-wise, product-wise, NPA percentage) against expectation. Investigate any movement exceeding 10% or ₹[performance materiality] whichever is lower.</w:t>
              <w:br/>
              <w:br/>
              <w:t>Expected outcome: Movements within expectation range or explained by documented business reasons.</w:t>
              <w:br/>
              <w:t>Exception protocol: Obtain management explanation; corroborate with board minutes, credit committee minutes, and RBI inspection findings; if unexplained, expand substantive testing scope for affected sub-portfolio.</w:t>
              <w:br/>
              <w:t>Assertion: [OCC, COM, ACC]. Reference: SA 520, Para 5–7; SA 315, Para 19–31.</w:t>
            </w:r>
          </w:p>
        </w:tc>
        <w:tc>
          <w:tcPr>
            <w:tcW w:type="dxa" w:w="1417"/>
            <w:vAlign w:val="top"/>
          </w:tcPr>
          <w:p>
            <w:r>
              <w:rPr>
                <w:rFonts w:ascii="Arial" w:hAnsi="Arial"/>
                <w:b w:val="0"/>
                <w:i w:val="0"/>
                <w:sz w:val="18"/>
              </w:rPr>
              <w:t>SA 520, Para 5–7; SA 315, Para 19–31</w:t>
            </w:r>
          </w:p>
        </w:tc>
        <w:tc>
          <w:tcPr>
            <w:tcW w:type="dxa" w:w="1417"/>
            <w:vAlign w:val="top"/>
          </w:tcPr>
          <w:p>
            <w:r>
              <w:rPr>
                <w:rFonts w:ascii="Arial" w:hAnsi="Arial"/>
                <w:b w:val="0"/>
                <w:i w:val="0"/>
                <w:sz w:val="18"/>
              </w:rPr>
              <w:t>ICAI GN on Audit of Banks 2025, Chapter 6 (Advances); AS 1, Para 15 (Going Concern / Consistency)</w:t>
            </w:r>
          </w:p>
        </w:tc>
        <w:tc>
          <w:tcPr>
            <w:tcW w:type="dxa" w:w="1417"/>
            <w:vAlign w:val="top"/>
          </w:tcPr>
          <w:p>
            <w:r>
              <w:rPr>
                <w:rFonts w:ascii="Arial" w:hAnsi="Arial"/>
                <w:b w:val="0"/>
                <w:i w:val="0"/>
                <w:sz w:val="18"/>
              </w:rPr>
              <w:t>Nearest ICAI reference — ICAI Ch. 3 — 3.12 — Loans and Borrowings (adapted)</w:t>
            </w:r>
          </w:p>
        </w:tc>
        <w:tc>
          <w:tcPr>
            <w:tcW w:type="dxa" w:w="1417"/>
            <w:vAlign w:val="top"/>
          </w:tcPr>
          <w:p>
            <w:r>
              <w:rPr>
                <w:rFonts w:ascii="Arial" w:hAnsi="Arial"/>
                <w:b w:val="0"/>
                <w:i w:val="0"/>
                <w:sz w:val="18"/>
              </w:rPr>
              <w:t>[Tool: T-01 Data Sense Pro (datasense.varma.ai) — Run trial balance analytical procedures on advances portfolio; sector-wise and product-wise variance analysis vs prior year]</w:t>
            </w:r>
          </w:p>
        </w:tc>
        <w:tc>
          <w:tcPr>
            <w:tcW w:type="dxa" w:w="850"/>
            <w:vAlign w:val="top"/>
          </w:tcPr>
          <w:p>
            <w:r>
              <w:rPr>
                <w:rFonts w:ascii="Arial" w:hAnsi="Arial"/>
                <w:b w:val="0"/>
                <w:i w:val="0"/>
                <w:sz w:val="18"/>
              </w:rPr>
              <w:t>WP-ADV-01</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ADV-003</w:t>
            </w:r>
          </w:p>
        </w:tc>
        <w:tc>
          <w:tcPr>
            <w:tcW w:type="dxa" w:w="1417"/>
            <w:vAlign w:val="top"/>
          </w:tcPr>
          <w:p>
            <w:r>
              <w:rPr>
                <w:rFonts w:ascii="Arial" w:hAnsi="Arial"/>
                <w:b w:val="0"/>
                <w:i w:val="0"/>
                <w:sz w:val="18"/>
              </w:rPr>
              <w:t>Advances — Sanction &amp; Disbursement Controls</w:t>
            </w:r>
          </w:p>
        </w:tc>
        <w:tc>
          <w:tcPr>
            <w:tcW w:type="dxa" w:w="1020"/>
            <w:vAlign w:val="top"/>
          </w:tcPr>
          <w:p>
            <w:r>
              <w:rPr>
                <w:rFonts w:ascii="Arial" w:hAnsi="Arial"/>
                <w:b w:val="0"/>
                <w:i w:val="0"/>
                <w:sz w:val="18"/>
              </w:rPr>
              <w:t>[OCC, ACC]</w:t>
            </w:r>
          </w:p>
        </w:tc>
        <w:tc>
          <w:tcPr>
            <w:tcW w:type="dxa" w:w="1701"/>
            <w:vAlign w:val="top"/>
          </w:tcPr>
          <w:p>
            <w:r>
              <w:rPr>
                <w:rFonts w:ascii="Arial" w:hAnsi="Arial"/>
                <w:b w:val="0"/>
                <w:i w:val="0"/>
                <w:sz w:val="18"/>
              </w:rPr>
              <w:t>Risk that loans are sanctioned without proper credit appraisal, authority matrix compliance, or documentation, leading to unauthorized advances being recorded; particularly relevant for large and related-party borrowers.</w:t>
            </w:r>
          </w:p>
        </w:tc>
        <w:tc>
          <w:tcPr>
            <w:tcW w:type="dxa" w:w="1247"/>
            <w:vAlign w:val="top"/>
          </w:tcPr>
          <w:p>
            <w:r>
              <w:rPr>
                <w:rFonts w:ascii="Arial" w:hAnsi="Arial"/>
                <w:b w:val="0"/>
                <w:i w:val="0"/>
                <w:sz w:val="18"/>
              </w:rPr>
              <w:t>High (Unauthorized disbursements are a fraud risk per SA 240 Para 26; ICAI GN on Audit of Banks 2025 Chapter 6 identifies sanction process as a key control point).</w:t>
            </w:r>
          </w:p>
        </w:tc>
        <w:tc>
          <w:tcPr>
            <w:tcW w:type="dxa" w:w="1020"/>
            <w:vAlign w:val="top"/>
          </w:tcPr>
          <w:p>
            <w:r>
              <w:rPr>
                <w:rFonts w:ascii="Arial" w:hAnsi="Arial"/>
                <w:b w:val="0"/>
                <w:i w:val="0"/>
                <w:sz w:val="18"/>
              </w:rPr>
              <w:t>ToC</w:t>
            </w:r>
          </w:p>
        </w:tc>
        <w:tc>
          <w:tcPr>
            <w:tcW w:type="dxa" w:w="3402"/>
            <w:vAlign w:val="top"/>
          </w:tcPr>
          <w:p>
            <w:r>
              <w:rPr>
                <w:rFonts w:ascii="Arial" w:hAnsi="Arial"/>
                <w:b w:val="0"/>
                <w:i w:val="0"/>
                <w:sz w:val="18"/>
              </w:rPr>
              <w:t>Test of control — Credit sanction authority matrix compliance:</w:t>
              <w:br/>
              <w:t>Control tested: Loans are sanctioned only by the designated sanctioning authority per the bank's Board-approved credit policy.</w:t>
              <w:br/>
              <w:t>Control objective: Prevent unauthorized or excess-of-authority loan sanctions.</w:t>
              <w:br/>
              <w:t>Sample: Extract all loans sanctioned during the year above ₹[scoping threshold] from the CBS sanction register. Select a sample of 25 accounts using random number selection per SA 530, Para 5–11 (tolerable deviation rate: 5%).</w:t>
              <w:br/>
              <w:br/>
              <w:t>For each sample item: Inspect the sanction letter and compare the sanctioning authority's designation to the authority matrix in the credit policy; confirm the sanctioned amount does not exceed that authority's limit; inspect the credit appraisal note and credit committee minutes for evidence of appraisal before sanction.</w:t>
              <w:br/>
              <w:br/>
              <w:t>Expected outcome: 100% of sample items sanctioned by an authority within approved limits; credit appraisal note present and pre-dates sanction letter.</w:t>
              <w:br/>
              <w:t>Exception protocol: Any deviation to be logged; if deviation rate exceeds 5%, extend sample by 15 accounts; consult engagement manager on whether controls can be relied upon.</w:t>
              <w:br/>
              <w:t>Assertion: [OCC, ACC]. Reference: SA 330, Para 8–15; SA 530, Para 5–11.</w:t>
            </w:r>
          </w:p>
        </w:tc>
        <w:tc>
          <w:tcPr>
            <w:tcW w:type="dxa" w:w="1417"/>
            <w:vAlign w:val="top"/>
          </w:tcPr>
          <w:p>
            <w:r>
              <w:rPr>
                <w:rFonts w:ascii="Arial" w:hAnsi="Arial"/>
                <w:b w:val="0"/>
                <w:i w:val="0"/>
                <w:sz w:val="18"/>
              </w:rPr>
              <w:t>SA 330, Para 8–15; SA 530, Para 5–11</w:t>
            </w:r>
          </w:p>
        </w:tc>
        <w:tc>
          <w:tcPr>
            <w:tcW w:type="dxa" w:w="1417"/>
            <w:vAlign w:val="top"/>
          </w:tcPr>
          <w:p>
            <w:r>
              <w:rPr>
                <w:rFonts w:ascii="Arial" w:hAnsi="Arial"/>
                <w:b w:val="0"/>
                <w:i w:val="0"/>
                <w:sz w:val="18"/>
              </w:rPr>
              <w:t>ICAI GN on Audit of Banks 2025, Chapter 6 — Sanction Process; Banking Regulation Act 1949, Section 20A</w:t>
            </w:r>
          </w:p>
        </w:tc>
        <w:tc>
          <w:tcPr>
            <w:tcW w:type="dxa" w:w="1417"/>
            <w:vAlign w:val="top"/>
          </w:tcPr>
          <w:p>
            <w:r>
              <w:rPr>
                <w:rFonts w:ascii="Arial" w:hAnsi="Arial"/>
                <w:b w:val="0"/>
                <w:i w:val="0"/>
                <w:sz w:val="18"/>
              </w:rPr>
              <w:t>Nearest ICAI reference — ICAI Ch. 3 — 3.12 — Loans and Borrowings (adapted)</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WP-ADV-02</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ADV-004</w:t>
            </w:r>
          </w:p>
        </w:tc>
        <w:tc>
          <w:tcPr>
            <w:tcW w:type="dxa" w:w="1417"/>
            <w:vAlign w:val="top"/>
          </w:tcPr>
          <w:p>
            <w:r>
              <w:rPr>
                <w:rFonts w:ascii="Arial" w:hAnsi="Arial"/>
                <w:b w:val="0"/>
                <w:i w:val="0"/>
                <w:sz w:val="18"/>
              </w:rPr>
              <w:t>Advances — Loan Documentation Controls</w:t>
            </w:r>
          </w:p>
        </w:tc>
        <w:tc>
          <w:tcPr>
            <w:tcW w:type="dxa" w:w="1020"/>
            <w:vAlign w:val="top"/>
          </w:tcPr>
          <w:p>
            <w:r>
              <w:rPr>
                <w:rFonts w:ascii="Arial" w:hAnsi="Arial"/>
                <w:b w:val="0"/>
                <w:i w:val="0"/>
                <w:sz w:val="18"/>
              </w:rPr>
              <w:t>[RO, EXI]</w:t>
            </w:r>
          </w:p>
        </w:tc>
        <w:tc>
          <w:tcPr>
            <w:tcW w:type="dxa" w:w="1701"/>
            <w:vAlign w:val="top"/>
          </w:tcPr>
          <w:p>
            <w:r>
              <w:rPr>
                <w:rFonts w:ascii="Arial" w:hAnsi="Arial"/>
                <w:b w:val="0"/>
                <w:i w:val="0"/>
                <w:sz w:val="18"/>
              </w:rPr>
              <w:t>Risk that security documentation (mortgage deeds, hypothecation agreements, charge registration) is absent, defective, or unregistered, impairing the bank's rights over collateral and potentially requiring additional provisioning.</w:t>
            </w:r>
          </w:p>
        </w:tc>
        <w:tc>
          <w:tcPr>
            <w:tcW w:type="dxa" w:w="1247"/>
            <w:vAlign w:val="top"/>
          </w:tcPr>
          <w:p>
            <w:r>
              <w:rPr>
                <w:rFonts w:ascii="Arial" w:hAnsi="Arial"/>
                <w:b w:val="0"/>
                <w:i w:val="0"/>
                <w:sz w:val="18"/>
              </w:rPr>
              <w:t>High (Defective documentation is a direct RO assertion risk; ICAI GN on Audit of Banks 2025 Chapter 6 mandates documentation review; RBI IRAC Norms require secured classification to have valid perfected charge).</w:t>
            </w:r>
          </w:p>
        </w:tc>
        <w:tc>
          <w:tcPr>
            <w:tcW w:type="dxa" w:w="1020"/>
            <w:vAlign w:val="top"/>
          </w:tcPr>
          <w:p>
            <w:r>
              <w:rPr>
                <w:rFonts w:ascii="Arial" w:hAnsi="Arial"/>
                <w:b w:val="0"/>
                <w:i w:val="0"/>
                <w:sz w:val="18"/>
              </w:rPr>
              <w:t>ToC</w:t>
            </w:r>
          </w:p>
        </w:tc>
        <w:tc>
          <w:tcPr>
            <w:tcW w:type="dxa" w:w="3402"/>
            <w:vAlign w:val="top"/>
          </w:tcPr>
          <w:p>
            <w:r>
              <w:rPr>
                <w:rFonts w:ascii="Arial" w:hAnsi="Arial"/>
                <w:b w:val="0"/>
                <w:i w:val="0"/>
                <w:sz w:val="18"/>
              </w:rPr>
              <w:t>Test of control — Documentation adequacy for secured advances:</w:t>
              <w:br/>
              <w:t>Control tested: All term loans and CC/OD facilities secured by immovable / movable property have registered charges (CERSAI for mortgages; ROC charge filing for hypothecation) and valid security documents on file.</w:t>
              <w:br/>
              <w:t>Control objective: Ensure bank's security interest is perfected and enforceable; correct classification between secured and unsecured for provisioning.</w:t>
              <w:br/>
              <w:t>Sample: From the advances register, extract all fund-based accounts classified as "secured" with outstanding above ₹[threshold]. Select 20 accounts using systematic sampling.</w:t>
              <w:br/>
              <w:br/>
              <w:t>For each: (a) Inspect security document in the loan file (mortgage deed / hypothecation letter / pledge agreement); (b) Confirm CERSAI registration for mortgages (obtain CERSAI search report); (c) For movable property, confirm Form CHG-1/CHG-9 filed with ROC and charge registration number is on file; (d) Confirm document dates and validity (not expired, renewed if required).</w:t>
              <w:br/>
              <w:br/>
              <w:t>Expected outcome: All 20 accounts have valid, registered, and unexpired security documents.</w:t>
              <w:br/>
              <w:t>Exception protocol: Any account with absent or unregistered security to be reported; reclassify as "unsecured" for provisioning test (ADV-009); report in LFAR Advances section.</w:t>
              <w:br/>
              <w:t>Assertion: [RO, EXI]. Reference: SA 330, Para 8–15; SA 500, Para 9.</w:t>
            </w:r>
          </w:p>
        </w:tc>
        <w:tc>
          <w:tcPr>
            <w:tcW w:type="dxa" w:w="1417"/>
            <w:vAlign w:val="top"/>
          </w:tcPr>
          <w:p>
            <w:r>
              <w:rPr>
                <w:rFonts w:ascii="Arial" w:hAnsi="Arial"/>
                <w:b w:val="0"/>
                <w:i w:val="0"/>
                <w:sz w:val="18"/>
              </w:rPr>
              <w:t>SA 330, Para 8–15; SA 500, Para 9</w:t>
            </w:r>
          </w:p>
        </w:tc>
        <w:tc>
          <w:tcPr>
            <w:tcW w:type="dxa" w:w="1417"/>
            <w:vAlign w:val="top"/>
          </w:tcPr>
          <w:p>
            <w:r>
              <w:rPr>
                <w:rFonts w:ascii="Arial" w:hAnsi="Arial"/>
                <w:b w:val="0"/>
                <w:i w:val="0"/>
                <w:sz w:val="18"/>
              </w:rPr>
              <w:t>ICAI GN on Audit of Banks 2025, Chapter 6; SARFAESI Act 2002; CERSAI Regulations</w:t>
            </w:r>
          </w:p>
        </w:tc>
        <w:tc>
          <w:tcPr>
            <w:tcW w:type="dxa" w:w="1417"/>
            <w:vAlign w:val="top"/>
          </w:tcPr>
          <w:p>
            <w:r>
              <w:rPr>
                <w:rFonts w:ascii="Arial" w:hAnsi="Arial"/>
                <w:b w:val="0"/>
                <w:i w:val="0"/>
                <w:sz w:val="18"/>
              </w:rPr>
              <w:t>Nearest ICAI reference — ICAI Ch. 3 — 3.12 — Loans and Borrowings (adapted)</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WP-ADV-02</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ADV-005</w:t>
            </w:r>
          </w:p>
        </w:tc>
        <w:tc>
          <w:tcPr>
            <w:tcW w:type="dxa" w:w="1417"/>
            <w:vAlign w:val="top"/>
          </w:tcPr>
          <w:p>
            <w:r>
              <w:rPr>
                <w:rFonts w:ascii="Arial" w:hAnsi="Arial"/>
                <w:b w:val="0"/>
                <w:i w:val="0"/>
                <w:sz w:val="18"/>
              </w:rPr>
              <w:t>Advances — NPA Identification &amp; IRAC Classification</w:t>
            </w:r>
          </w:p>
        </w:tc>
        <w:tc>
          <w:tcPr>
            <w:tcW w:type="dxa" w:w="1020"/>
            <w:vAlign w:val="top"/>
          </w:tcPr>
          <w:p>
            <w:r>
              <w:rPr>
                <w:rFonts w:ascii="Arial" w:hAnsi="Arial"/>
                <w:b w:val="0"/>
                <w:i w:val="0"/>
                <w:sz w:val="18"/>
              </w:rPr>
              <w:t>[EXI, VAL, ACC]</w:t>
            </w:r>
          </w:p>
        </w:tc>
        <w:tc>
          <w:tcPr>
            <w:tcW w:type="dxa" w:w="1701"/>
            <w:vAlign w:val="top"/>
          </w:tcPr>
          <w:p>
            <w:r>
              <w:rPr>
                <w:rFonts w:ascii="Arial" w:hAnsi="Arial"/>
                <w:b w:val="0"/>
                <w:i w:val="0"/>
                <w:sz w:val="18"/>
              </w:rPr>
              <w:t>Risk that accounts that meet IRAC NPA criteria (overdue &gt; 90 days, NPA trigger events) are not classified as NPA and continue to be reported as Standard, resulting in understatement of NPA and overstatement of advances and income (non-accrual rule violation).</w:t>
            </w:r>
          </w:p>
        </w:tc>
        <w:tc>
          <w:tcPr>
            <w:tcW w:type="dxa" w:w="1247"/>
            <w:vAlign w:val="top"/>
          </w:tcPr>
          <w:p>
            <w:r>
              <w:rPr>
                <w:rFonts w:ascii="Arial" w:hAnsi="Arial"/>
                <w:b w:val="0"/>
                <w:i w:val="0"/>
                <w:sz w:val="18"/>
              </w:rPr>
              <w:t>High (Significant risk per SA 315 Para 28; income recognition fraud risk per SA 240 Para 26; IRAC Norms are rule-based but management has discretion in applying restructuring/upgrade norms — ICAI GN on Audit of Banks 2025 Chapter 7).</w:t>
            </w:r>
          </w:p>
        </w:tc>
        <w:tc>
          <w:tcPr>
            <w:tcW w:type="dxa" w:w="1020"/>
            <w:vAlign w:val="top"/>
          </w:tcPr>
          <w:p>
            <w:r>
              <w:rPr>
                <w:rFonts w:ascii="Arial" w:hAnsi="Arial"/>
                <w:b w:val="0"/>
                <w:i w:val="0"/>
                <w:sz w:val="18"/>
              </w:rPr>
              <w:t>Substantive (ToD)</w:t>
            </w:r>
          </w:p>
        </w:tc>
        <w:tc>
          <w:tcPr>
            <w:tcW w:type="dxa" w:w="3402"/>
            <w:vAlign w:val="top"/>
          </w:tcPr>
          <w:p>
            <w:r>
              <w:rPr>
                <w:rFonts w:ascii="Arial" w:hAnsi="Arial"/>
                <w:b w:val="0"/>
                <w:i w:val="0"/>
                <w:sz w:val="18"/>
              </w:rPr>
              <w:t>Obtain from the CBS the complete list of fund-based advances classified as Standard as at the balance sheet date.</w:t>
              <w:br/>
              <w:br/>
              <w:t>Step 1 — Overdue aging: Using the CBS-generated aging report, extract all accounts where any installment or interest is overdue for more than 89 days (i.e., approaching NPA boundary). For each such account, inspect payment history statements from CBS for the last 12 months to confirm actual overdue days.</w:t>
              <w:br/>
              <w:br/>
              <w:t>Step 2 — Manual NPA review: Extract Top-20 large borrower accounts and all accounts flagged by RBI inspection (latest OSMOS / inspection report). For each, inspect: (a) payment history; (b) account conduct — bounced cheques, frequent overdrawing; (c) latest stock/book debt statements — if not received for 3 months for CC accounts, apply NPA trigger per IRAC Para 4.2.4; (d) renewal status — term loans / CC limits due for renewal for &gt; 180 days.</w:t>
              <w:br/>
              <w:br/>
              <w:t>Step 3 — Cross-check with CRILC: Agree SMA (Special Mention Account) classification in CBS to the CRILC report filed by the bank for Q4; identify any account in SMA-2 or NPA in CRILC but shown as Standard in CBS.</w:t>
              <w:br/>
              <w:br/>
              <w:t>Expected outcome: All accounts with overdue &gt; 90 days classified NPA; SMA-2 accounts on watch; CRILC and CBS classifications agree.</w:t>
              <w:br/>
              <w:t>Exception protocol: Any downgrade required to be quantified; compute provisioning impact per ADV-009; report to management; disclose in LFAR Advances section (ADV-013).</w:t>
              <w:br/>
              <w:t>Assertion: [EXI, VAL, ACC]. Reference: SA 330, Para 18–25; SA 540, Para 8–15; SA 500, Para 7.</w:t>
            </w:r>
          </w:p>
        </w:tc>
        <w:tc>
          <w:tcPr>
            <w:tcW w:type="dxa" w:w="1417"/>
            <w:vAlign w:val="top"/>
          </w:tcPr>
          <w:p>
            <w:r>
              <w:rPr>
                <w:rFonts w:ascii="Arial" w:hAnsi="Arial"/>
                <w:b w:val="0"/>
                <w:i w:val="0"/>
                <w:sz w:val="18"/>
              </w:rPr>
              <w:t>SA 330, Para 18–25; SA 540, Para 8–15; SA 500, Para 7</w:t>
            </w:r>
          </w:p>
        </w:tc>
        <w:tc>
          <w:tcPr>
            <w:tcW w:type="dxa" w:w="1417"/>
            <w:vAlign w:val="top"/>
          </w:tcPr>
          <w:p>
            <w:r>
              <w:rPr>
                <w:rFonts w:ascii="Arial" w:hAnsi="Arial"/>
                <w:b w:val="0"/>
                <w:i w:val="0"/>
                <w:sz w:val="18"/>
              </w:rPr>
              <w:t>RBI Master Circular — IRAC Norms (July 2015 and amendments); ICAI GN on Audit of Banks 2025, Chapter 7; AS 29, Para 14 (Provisions)</w:t>
            </w:r>
          </w:p>
        </w:tc>
        <w:tc>
          <w:tcPr>
            <w:tcW w:type="dxa" w:w="1417"/>
            <w:vAlign w:val="top"/>
          </w:tcPr>
          <w:p>
            <w:r>
              <w:rPr>
                <w:rFonts w:ascii="Arial" w:hAnsi="Arial"/>
                <w:b w:val="0"/>
                <w:i w:val="0"/>
                <w:sz w:val="18"/>
              </w:rPr>
              <w:t>Nearest ICAI reference — ICAI Ch. 3 — 3.12 / 3.7 — Loans and Borrowings &amp; Trade Receivables (adapted)</w:t>
            </w:r>
          </w:p>
        </w:tc>
        <w:tc>
          <w:tcPr>
            <w:tcW w:type="dxa" w:w="1417"/>
            <w:vAlign w:val="top"/>
          </w:tcPr>
          <w:p>
            <w:r>
              <w:rPr>
                <w:rFonts w:ascii="Arial" w:hAnsi="Arial"/>
                <w:b w:val="0"/>
                <w:i w:val="0"/>
                <w:sz w:val="18"/>
              </w:rPr>
              <w:t>[Tool: T-01 Data Sense Pro (datasense.varma.ai) — Aged debtors/creditors analysis on advances portfolio; extract accounts overdue &gt;89 days for NPA trigger review]</w:t>
            </w:r>
          </w:p>
        </w:tc>
        <w:tc>
          <w:tcPr>
            <w:tcW w:type="dxa" w:w="850"/>
            <w:vAlign w:val="top"/>
          </w:tcPr>
          <w:p>
            <w:r>
              <w:rPr>
                <w:rFonts w:ascii="Arial" w:hAnsi="Arial"/>
                <w:b w:val="0"/>
                <w:i w:val="0"/>
                <w:sz w:val="18"/>
              </w:rPr>
              <w:t>WP-ADV-03</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ADV-006</w:t>
            </w:r>
          </w:p>
        </w:tc>
        <w:tc>
          <w:tcPr>
            <w:tcW w:type="dxa" w:w="1417"/>
            <w:vAlign w:val="top"/>
          </w:tcPr>
          <w:p>
            <w:r>
              <w:rPr>
                <w:rFonts w:ascii="Arial" w:hAnsi="Arial"/>
                <w:b w:val="0"/>
                <w:i w:val="0"/>
                <w:sz w:val="18"/>
              </w:rPr>
              <w:t>Advances — Provisioning Computation (Sub-standard, Doubtful, Loss)</w:t>
            </w:r>
          </w:p>
        </w:tc>
        <w:tc>
          <w:tcPr>
            <w:tcW w:type="dxa" w:w="1020"/>
            <w:vAlign w:val="top"/>
          </w:tcPr>
          <w:p>
            <w:r>
              <w:rPr>
                <w:rFonts w:ascii="Arial" w:hAnsi="Arial"/>
                <w:b w:val="0"/>
                <w:i w:val="0"/>
                <w:sz w:val="18"/>
              </w:rPr>
              <w:t>[VAL, ACC]</w:t>
            </w:r>
          </w:p>
        </w:tc>
        <w:tc>
          <w:tcPr>
            <w:tcW w:type="dxa" w:w="1701"/>
            <w:vAlign w:val="top"/>
          </w:tcPr>
          <w:p>
            <w:r>
              <w:rPr>
                <w:rFonts w:ascii="Arial" w:hAnsi="Arial"/>
                <w:b w:val="0"/>
                <w:i w:val="0"/>
                <w:sz w:val="18"/>
              </w:rPr>
              <w:t>Risk that provisioning percentages are applied to incorrect NPA categories, collateral deductions are over-stated (inflated security values used to reduce provision), or Loss assets are not written off, resulting in understated provisions and overstated net advances.</w:t>
            </w:r>
          </w:p>
        </w:tc>
        <w:tc>
          <w:tcPr>
            <w:tcW w:type="dxa" w:w="1247"/>
            <w:vAlign w:val="top"/>
          </w:tcPr>
          <w:p>
            <w:r>
              <w:rPr>
                <w:rFonts w:ascii="Arial" w:hAnsi="Arial"/>
                <w:b w:val="0"/>
                <w:i w:val="0"/>
                <w:sz w:val="18"/>
              </w:rPr>
              <w:t>High (Complex estimate per SA 540; provisioning is a direct driver of reported profitability; ICAI GN on Audit of Banks 2025 Chapter 7 identifies this as a key audit area).</w:t>
            </w:r>
          </w:p>
        </w:tc>
        <w:tc>
          <w:tcPr>
            <w:tcW w:type="dxa" w:w="1020"/>
            <w:vAlign w:val="top"/>
          </w:tcPr>
          <w:p>
            <w:r>
              <w:rPr>
                <w:rFonts w:ascii="Arial" w:hAnsi="Arial"/>
                <w:b w:val="0"/>
                <w:i w:val="0"/>
                <w:sz w:val="18"/>
              </w:rPr>
              <w:t>Substantive (ToD)</w:t>
            </w:r>
          </w:p>
        </w:tc>
        <w:tc>
          <w:tcPr>
            <w:tcW w:type="dxa" w:w="3402"/>
            <w:vAlign w:val="top"/>
          </w:tcPr>
          <w:p>
            <w:r>
              <w:rPr>
                <w:rFonts w:ascii="Arial" w:hAnsi="Arial"/>
                <w:b w:val="0"/>
                <w:i w:val="0"/>
                <w:sz w:val="18"/>
              </w:rPr>
              <w:t>Obtain the NPA provisioning schedule as at the balance sheet date. For each NPA category (Sub-standard, Doubtful 1/2/3, Loss):</w:t>
              <w:br/>
              <w:br/>
              <w:t>Step 1 — Classification period: Trace 15 accounts (5 per category, judgmentally selected for highest provision amounts) from the provisioning schedule to: (a) the date of NPA classification in CBS; (b) confirm category is correct based on number of years in NPA per IRAC Norms (Sub-standard: &lt; 12 months; Doubtful 1: 12–24 months NPA; Doubtful 2: 24–36 months; Doubtful 3: &gt;36 months; Loss: identified by bank/auditor/RBI).</w:t>
              <w:br/>
              <w:br/>
              <w:t>Step 2 — Provision rate: Recompute provision for each sampled account by applying RBI prescribed rates (Sub-standard unsecured 25%, secured 15%; D1 25%, D2 40%, D3 100% for unsecured portion; Loss 100%) to the outstanding net of realisable value of IRAC-eligible security.</w:t>
              <w:br/>
              <w:br/>
              <w:t>Step 3 — Security valuation: For secured accounts, inspect the most recent valuation report (must be &lt; 3 years old for immovable property; &lt; 1 year for movable); compare valuer's assessed forced-sale value to the value used in provision computation; flag any use of market value instead of forced-sale value.</w:t>
              <w:br/>
              <w:br/>
              <w:t>Step 4 — Standard asset provision: Separately recompute standard asset provision at applicable rates (agriculture: 0.25%, SME: 0.25%, commercial real estate: 1%, other: 0.40%) on performing portfolio balances.</w:t>
              <w:br/>
              <w:br/>
              <w:t>Expected outcome: Provision computation agrees to recomputed figures within ₹[performance materiality]; security values are not older than RBI-prescribed intervals; Loss assets fully provided.</w:t>
              <w:br/>
              <w:t>Exception protocol: Any shortfall to be quantified and reported; propose adjustment entry; report in LFAR.</w:t>
              <w:br/>
              <w:t>Assertion: [VAL, ACC]. Reference: SA 540, Para 8–15; SA 330, Para 20.</w:t>
            </w:r>
          </w:p>
        </w:tc>
        <w:tc>
          <w:tcPr>
            <w:tcW w:type="dxa" w:w="1417"/>
            <w:vAlign w:val="top"/>
          </w:tcPr>
          <w:p>
            <w:r>
              <w:rPr>
                <w:rFonts w:ascii="Arial" w:hAnsi="Arial"/>
                <w:b w:val="0"/>
                <w:i w:val="0"/>
                <w:sz w:val="18"/>
              </w:rPr>
              <w:t>SA 540, Para 8–15; SA 330, Para 20</w:t>
            </w:r>
          </w:p>
        </w:tc>
        <w:tc>
          <w:tcPr>
            <w:tcW w:type="dxa" w:w="1417"/>
            <w:vAlign w:val="top"/>
          </w:tcPr>
          <w:p>
            <w:r>
              <w:rPr>
                <w:rFonts w:ascii="Arial" w:hAnsi="Arial"/>
                <w:b w:val="0"/>
                <w:i w:val="0"/>
                <w:sz w:val="18"/>
              </w:rPr>
              <w:t>RBI Master Circular — IRAC Norms, Para 4–5; ICAI GN on Audit of Banks 2025, Chapter 7 — Provisioning; AS 29, Para 14</w:t>
            </w:r>
          </w:p>
        </w:tc>
        <w:tc>
          <w:tcPr>
            <w:tcW w:type="dxa" w:w="1417"/>
            <w:vAlign w:val="top"/>
          </w:tcPr>
          <w:p>
            <w:r>
              <w:rPr>
                <w:rFonts w:ascii="Arial" w:hAnsi="Arial"/>
                <w:b w:val="0"/>
                <w:i w:val="0"/>
                <w:sz w:val="18"/>
              </w:rPr>
              <w:t>Nearest ICAI reference — ICAI Ch. 3 — 3.12 — Loans and Borrowings (adapted)</w:t>
            </w:r>
          </w:p>
        </w:tc>
        <w:tc>
          <w:tcPr>
            <w:tcW w:type="dxa" w:w="1417"/>
            <w:vAlign w:val="top"/>
          </w:tcPr>
          <w:p>
            <w:r>
              <w:rPr>
                <w:rFonts w:ascii="Arial" w:hAnsi="Arial"/>
                <w:b w:val="0"/>
                <w:i w:val="0"/>
                <w:sz w:val="18"/>
              </w:rPr>
              <w:t>[Tool: T-01 Data Sense Pro (datasense.varma.ai) — Recompute provision amounts; MUS sampling on NPA provisioning schedule above ₹[threshold]]</w:t>
            </w:r>
          </w:p>
        </w:tc>
        <w:tc>
          <w:tcPr>
            <w:tcW w:type="dxa" w:w="850"/>
            <w:vAlign w:val="top"/>
          </w:tcPr>
          <w:p>
            <w:r>
              <w:rPr>
                <w:rFonts w:ascii="Arial" w:hAnsi="Arial"/>
                <w:b w:val="0"/>
                <w:i w:val="0"/>
                <w:sz w:val="18"/>
              </w:rPr>
              <w:t>WP-ADV-04</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ADV-007</w:t>
            </w:r>
          </w:p>
        </w:tc>
        <w:tc>
          <w:tcPr>
            <w:tcW w:type="dxa" w:w="1417"/>
            <w:vAlign w:val="top"/>
          </w:tcPr>
          <w:p>
            <w:r>
              <w:rPr>
                <w:rFonts w:ascii="Arial" w:hAnsi="Arial"/>
                <w:b w:val="0"/>
                <w:i w:val="0"/>
                <w:sz w:val="18"/>
              </w:rPr>
              <w:t>Advances — Top 20 / Large Borrower Analysis &amp; Evergreening</w:t>
            </w:r>
          </w:p>
        </w:tc>
        <w:tc>
          <w:tcPr>
            <w:tcW w:type="dxa" w:w="1020"/>
            <w:vAlign w:val="top"/>
          </w:tcPr>
          <w:p>
            <w:r>
              <w:rPr>
                <w:rFonts w:ascii="Arial" w:hAnsi="Arial"/>
                <w:b w:val="0"/>
                <w:i w:val="0"/>
                <w:sz w:val="18"/>
              </w:rPr>
              <w:t>[OCC, EXI, VAL]</w:t>
            </w:r>
          </w:p>
        </w:tc>
        <w:tc>
          <w:tcPr>
            <w:tcW w:type="dxa" w:w="1701"/>
            <w:vAlign w:val="top"/>
          </w:tcPr>
          <w:p>
            <w:r>
              <w:rPr>
                <w:rFonts w:ascii="Arial" w:hAnsi="Arial"/>
                <w:b w:val="0"/>
                <w:i w:val="0"/>
                <w:sz w:val="18"/>
              </w:rPr>
              <w:t>Risk that large individual borrower exposures conceal evergreening (fresh loans used to service interest on existing loans), concentration risk breaches, or connected-party lending, leading to fictitious income recognition and understated NPA.</w:t>
            </w:r>
          </w:p>
        </w:tc>
        <w:tc>
          <w:tcPr>
            <w:tcW w:type="dxa" w:w="1247"/>
            <w:vAlign w:val="top"/>
          </w:tcPr>
          <w:p>
            <w:r>
              <w:rPr>
                <w:rFonts w:ascii="Arial" w:hAnsi="Arial"/>
                <w:b w:val="0"/>
                <w:i w:val="0"/>
                <w:sz w:val="18"/>
              </w:rPr>
              <w:t>High (Fraud risk per SA 240 Para 26; significant risk per SA 315 Para 28; ICAI GN on Audit of Banks 2025 Chapter 6 specifically addresses evergreening as a key risk).</w:t>
            </w:r>
          </w:p>
        </w:tc>
        <w:tc>
          <w:tcPr>
            <w:tcW w:type="dxa" w:w="1020"/>
            <w:vAlign w:val="top"/>
          </w:tcPr>
          <w:p>
            <w:r>
              <w:rPr>
                <w:rFonts w:ascii="Arial" w:hAnsi="Arial"/>
                <w:b w:val="0"/>
                <w:i w:val="0"/>
                <w:sz w:val="18"/>
              </w:rPr>
              <w:t>Substantive (ToD)</w:t>
            </w:r>
          </w:p>
        </w:tc>
        <w:tc>
          <w:tcPr>
            <w:tcW w:type="dxa" w:w="3402"/>
            <w:vAlign w:val="top"/>
          </w:tcPr>
          <w:p>
            <w:r>
              <w:rPr>
                <w:rFonts w:ascii="Arial" w:hAnsi="Arial"/>
                <w:b w:val="0"/>
                <w:i w:val="0"/>
                <w:sz w:val="18"/>
              </w:rPr>
              <w:t>Obtain the Top 20 borrower listing (by outstanding fund-based + non-fund-based exposure) from CBS.</w:t>
              <w:br/>
              <w:br/>
              <w:t>Step 1 — Single / Group exposure limits: For each of the Top 20, recompute the single borrower limit (20% of Capital Funds) and group borrower limit (25% of Capital Funds) per RBI Master Circular on Exposure Norms; confirm no breach.</w:t>
              <w:br/>
              <w:br/>
              <w:t>Step 2 — Evergreening indicators: For each Top 20 borrower, inspect: (a) cash flow in the account for the year — if interest debited is immediately followed (within 3–7 days) by a fresh credit/drawdown, flag as evergreening risk; (b) compare disbursements in the last quarter to repayments — net negative cash flow pattern; (c) check if new term loans were sanctioned to the same borrower within 6 months of an existing term loan becoming irregular.</w:t>
              <w:br/>
              <w:br/>
              <w:t>Step 3 — Connected lending: Run the Top 20 borrower names and CINs through corporate intelligence to identify if any are connected to directors, promoters, or related parties of the bank.</w:t>
              <w:br/>
              <w:br/>
              <w:t>Step 4 — Financial health of borrower: Inspect the latest financial statements / stock audit report / concurrent audit report for the Top 5 borrowers; corroborate turnover declared with GST returns for CC/OD facilities.</w:t>
              <w:br/>
              <w:br/>
              <w:t>Expected outcome: No exposure limit breach; no evergreening pattern identified; connected lending either absent or disclosed as related-party transaction per AS 18.</w:t>
              <w:br/>
              <w:t>Exception protocol: Evergreening indicators to be escalated to engagement partner; consider expanded scope and reporting in LFAR Section on large borrowers.</w:t>
              <w:br/>
              <w:t>Assertion: [OCC, EXI, VAL]. Reference: SA 240, Para 26–33; SA 550, Para 13–23; SA 315, Para 28.</w:t>
            </w:r>
          </w:p>
        </w:tc>
        <w:tc>
          <w:tcPr>
            <w:tcW w:type="dxa" w:w="1417"/>
            <w:vAlign w:val="top"/>
          </w:tcPr>
          <w:p>
            <w:r>
              <w:rPr>
                <w:rFonts w:ascii="Arial" w:hAnsi="Arial"/>
                <w:b w:val="0"/>
                <w:i w:val="0"/>
                <w:sz w:val="18"/>
              </w:rPr>
              <w:t>SA 240, Para 26–33; SA 550, Para 13–23; SA 315, Para 28</w:t>
            </w:r>
          </w:p>
        </w:tc>
        <w:tc>
          <w:tcPr>
            <w:tcW w:type="dxa" w:w="1417"/>
            <w:vAlign w:val="top"/>
          </w:tcPr>
          <w:p>
            <w:r>
              <w:rPr>
                <w:rFonts w:ascii="Arial" w:hAnsi="Arial"/>
                <w:b w:val="0"/>
                <w:i w:val="0"/>
                <w:sz w:val="18"/>
              </w:rPr>
              <w:t>RBI Master Circular — Exposure Norms; AS 18, Para 10 (Related Party Disclosures); ICAI GN on Audit of Banks 2025, Chapter 6</w:t>
            </w:r>
          </w:p>
        </w:tc>
        <w:tc>
          <w:tcPr>
            <w:tcW w:type="dxa" w:w="1417"/>
            <w:vAlign w:val="top"/>
          </w:tcPr>
          <w:p>
            <w:r>
              <w:rPr>
                <w:rFonts w:ascii="Arial" w:hAnsi="Arial"/>
                <w:b w:val="0"/>
                <w:i w:val="0"/>
                <w:sz w:val="18"/>
              </w:rPr>
              <w:t>Nearest ICAI reference — ICAI Ch. 4 — 4.4 — Related Party Transactions; Ch. 3 — 3.12 (adapted)</w:t>
            </w:r>
          </w:p>
        </w:tc>
        <w:tc>
          <w:tcPr>
            <w:tcW w:type="dxa" w:w="1417"/>
            <w:vAlign w:val="top"/>
          </w:tcPr>
          <w:p>
            <w:r>
              <w:rPr>
                <w:rFonts w:ascii="Arial" w:hAnsi="Arial"/>
                <w:b w:val="0"/>
                <w:i w:val="0"/>
                <w:sz w:val="18"/>
              </w:rPr>
              <w:t>[Tool: T-03 Corporate Intelligence (struckoff.varma.ai) — Director/promoter entity matching on Top 20 borrowers; related party completeness check vs MCA master]; [Tool: T-01 Data Sense Pro (datasense.varma.ai) — Benford's Law analysis on Top 20 borrower transaction credits to detect evergreening patterns]</w:t>
            </w:r>
          </w:p>
        </w:tc>
        <w:tc>
          <w:tcPr>
            <w:tcW w:type="dxa" w:w="850"/>
            <w:vAlign w:val="top"/>
          </w:tcPr>
          <w:p>
            <w:r>
              <w:rPr>
                <w:rFonts w:ascii="Arial" w:hAnsi="Arial"/>
                <w:b w:val="0"/>
                <w:i w:val="0"/>
                <w:sz w:val="18"/>
              </w:rPr>
              <w:t>WP-ADV-06</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ADV-008</w:t>
            </w:r>
          </w:p>
        </w:tc>
        <w:tc>
          <w:tcPr>
            <w:tcW w:type="dxa" w:w="1417"/>
            <w:vAlign w:val="top"/>
          </w:tcPr>
          <w:p>
            <w:r>
              <w:rPr>
                <w:rFonts w:ascii="Arial" w:hAnsi="Arial"/>
                <w:b w:val="0"/>
                <w:i w:val="0"/>
                <w:sz w:val="18"/>
              </w:rPr>
              <w:t>Advances — Restructured / Modified Accounts (RBI Circular Compliance)</w:t>
            </w:r>
          </w:p>
        </w:tc>
        <w:tc>
          <w:tcPr>
            <w:tcW w:type="dxa" w:w="1020"/>
            <w:vAlign w:val="top"/>
          </w:tcPr>
          <w:p>
            <w:r>
              <w:rPr>
                <w:rFonts w:ascii="Arial" w:hAnsi="Arial"/>
                <w:b w:val="0"/>
                <w:i w:val="0"/>
                <w:sz w:val="18"/>
              </w:rPr>
              <w:t>[ACC, VAL, OCC]</w:t>
            </w:r>
          </w:p>
        </w:tc>
        <w:tc>
          <w:tcPr>
            <w:tcW w:type="dxa" w:w="1701"/>
            <w:vAlign w:val="top"/>
          </w:tcPr>
          <w:p>
            <w:r>
              <w:rPr>
                <w:rFonts w:ascii="Arial" w:hAnsi="Arial"/>
                <w:b w:val="0"/>
                <w:i w:val="0"/>
                <w:sz w:val="18"/>
              </w:rPr>
              <w:t>Risk that accounts restructured under RBI resolution frameworks are not downgraded to NPA upon failure to meet restructuring conditions, or that diminution in fair value (sacrifice) is not computed and provided for, leading to overstated advances and understated provisions.</w:t>
            </w:r>
          </w:p>
        </w:tc>
        <w:tc>
          <w:tcPr>
            <w:tcW w:type="dxa" w:w="1247"/>
            <w:vAlign w:val="top"/>
          </w:tcPr>
          <w:p>
            <w:r>
              <w:rPr>
                <w:rFonts w:ascii="Arial" w:hAnsi="Arial"/>
                <w:b w:val="0"/>
                <w:i w:val="0"/>
                <w:sz w:val="18"/>
              </w:rPr>
              <w:t>High (Complex estimate — SA 540; ICAI GN on Audit of Banks 2025 Chapter 7 mandates specific review of restructured accounts; RBI Prudential Framework for Resolution of Stressed Assets 2019 imposes strict upgrade/downgrade conditions).</w:t>
            </w:r>
          </w:p>
        </w:tc>
        <w:tc>
          <w:tcPr>
            <w:tcW w:type="dxa" w:w="1020"/>
            <w:vAlign w:val="top"/>
          </w:tcPr>
          <w:p>
            <w:r>
              <w:rPr>
                <w:rFonts w:ascii="Arial" w:hAnsi="Arial"/>
                <w:b w:val="0"/>
                <w:i w:val="0"/>
                <w:sz w:val="18"/>
              </w:rPr>
              <w:t>Substantive (ToD)</w:t>
            </w:r>
          </w:p>
        </w:tc>
        <w:tc>
          <w:tcPr>
            <w:tcW w:type="dxa" w:w="3402"/>
            <w:vAlign w:val="top"/>
          </w:tcPr>
          <w:p>
            <w:r>
              <w:rPr>
                <w:rFonts w:ascii="Arial" w:hAnsi="Arial"/>
                <w:b w:val="0"/>
                <w:i w:val="0"/>
                <w:sz w:val="18"/>
              </w:rPr>
              <w:t>Obtain the complete list of accounts under restructuring / resolution as at the balance sheet date (OTS, restructuring under RBI Prudential Framework, ECLGS restructuring).</w:t>
              <w:br/>
              <w:br/>
              <w:t>Step 1 — Upgrade conditions: For each restructured account upgraded to Standard during the year, inspect: (a) evidence that all overdue amounts were cleared before upgrade; (b) satisfactory performance for the prescribed observation period (minimum 1 year for most schemes); (c) credit committee / board approval for upgrade.</w:t>
              <w:br/>
              <w:br/>
              <w:t>Step 2 — Sacrifice computation: For 10 restructured accounts (by value), recompute the diminution in fair value of the loan using the NPV method — discount post-restructuring cash flows at the pre-restructuring effective interest rate; compare to bank's own sacrifice computation; assess adequacy of provision held.</w:t>
              <w:br/>
              <w:br/>
              <w:t>Step 3 — Borrower performance post-restructuring: Inspect latest stock audit report, financial statements, and payment track record for the 6 months post-restructuring; assess if restructuring conditions (e.g., equity conversion, promoter contribution) are being met.</w:t>
              <w:br/>
              <w:br/>
              <w:t>Expected outcome: Upgrade documentation complete; sacrifice provision computed correctly; no restructured account should be classified Standard if restructuring conditions are breached.</w:t>
              <w:br/>
              <w:t>Exception protocol: Any breach of restructuring conditions requires NPA classification; quantify provision impact; report in LFAR.</w:t>
              <w:br/>
              <w:t>Assertion: [ACC, VAL, OCC]. Reference: SA 540, Para 8–15; SA 500, Para 7; SA 330, Para 20.</w:t>
            </w:r>
          </w:p>
        </w:tc>
        <w:tc>
          <w:tcPr>
            <w:tcW w:type="dxa" w:w="1417"/>
            <w:vAlign w:val="top"/>
          </w:tcPr>
          <w:p>
            <w:r>
              <w:rPr>
                <w:rFonts w:ascii="Arial" w:hAnsi="Arial"/>
                <w:b w:val="0"/>
                <w:i w:val="0"/>
                <w:sz w:val="18"/>
              </w:rPr>
              <w:t>SA 540, Para 8–15; SA 500, Para 7; SA 330, Para 20</w:t>
            </w:r>
          </w:p>
        </w:tc>
        <w:tc>
          <w:tcPr>
            <w:tcW w:type="dxa" w:w="1417"/>
            <w:vAlign w:val="top"/>
          </w:tcPr>
          <w:p>
            <w:r>
              <w:rPr>
                <w:rFonts w:ascii="Arial" w:hAnsi="Arial"/>
                <w:b w:val="0"/>
                <w:i w:val="0"/>
                <w:sz w:val="18"/>
              </w:rPr>
              <w:t>RBI Prudential Framework for Resolution of Stressed Assets (June 2019); ICAI GN on Audit of Banks 2025, Chapter 7; AS 29, Para 14</w:t>
            </w:r>
          </w:p>
        </w:tc>
        <w:tc>
          <w:tcPr>
            <w:tcW w:type="dxa" w:w="1417"/>
            <w:vAlign w:val="top"/>
          </w:tcPr>
          <w:p>
            <w:r>
              <w:rPr>
                <w:rFonts w:ascii="Arial" w:hAnsi="Arial"/>
                <w:b w:val="0"/>
                <w:i w:val="0"/>
                <w:sz w:val="18"/>
              </w:rPr>
              <w:t>Nearest ICAI reference — ICAI Ch. 3 — 3.12 — Loans and Borrowings (adapted)</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WP-ADV-07</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ADV-009</w:t>
            </w:r>
          </w:p>
        </w:tc>
        <w:tc>
          <w:tcPr>
            <w:tcW w:type="dxa" w:w="1417"/>
            <w:vAlign w:val="top"/>
          </w:tcPr>
          <w:p>
            <w:r>
              <w:rPr>
                <w:rFonts w:ascii="Arial" w:hAnsi="Arial"/>
                <w:b w:val="0"/>
                <w:i w:val="0"/>
                <w:sz w:val="18"/>
              </w:rPr>
              <w:t>Advances — MSME Classification &amp; Special Provisions</w:t>
            </w:r>
          </w:p>
        </w:tc>
        <w:tc>
          <w:tcPr>
            <w:tcW w:type="dxa" w:w="1020"/>
            <w:vAlign w:val="top"/>
          </w:tcPr>
          <w:p>
            <w:r>
              <w:rPr>
                <w:rFonts w:ascii="Arial" w:hAnsi="Arial"/>
                <w:b w:val="0"/>
                <w:i w:val="0"/>
                <w:sz w:val="18"/>
              </w:rPr>
              <w:t>[ACC, CLS, VAL]</w:t>
            </w:r>
          </w:p>
        </w:tc>
        <w:tc>
          <w:tcPr>
            <w:tcW w:type="dxa" w:w="1701"/>
            <w:vAlign w:val="top"/>
          </w:tcPr>
          <w:p>
            <w:r>
              <w:rPr>
                <w:rFonts w:ascii="Arial" w:hAnsi="Arial"/>
                <w:b w:val="0"/>
                <w:i w:val="0"/>
                <w:sz w:val="18"/>
              </w:rPr>
              <w:t>Risk that accounts qualifying as MSME under the MSMED Act 2006 (revised 2020 investment/turnover criteria) are not correctly classified, leading to incorrect application of MSME-specific NPA norms (180-day overdue period for government-sponsored schemes) and special provision rates.</w:t>
            </w:r>
          </w:p>
        </w:tc>
        <w:tc>
          <w:tcPr>
            <w:tcW w:type="dxa" w:w="1247"/>
            <w:vAlign w:val="top"/>
          </w:tcPr>
          <w:p>
            <w:r>
              <w:rPr>
                <w:rFonts w:ascii="Arial" w:hAnsi="Arial"/>
                <w:b w:val="0"/>
                <w:i w:val="0"/>
                <w:sz w:val="18"/>
              </w:rPr>
              <w:t>Medium (Rule-based classification; risk is moderate — dependent on accuracy of borrower-provided UDYAM registration and bank's CBS classification tagging — ICAI GN on Audit of Banks 2025 Chapter 9).</w:t>
            </w:r>
          </w:p>
        </w:tc>
        <w:tc>
          <w:tcPr>
            <w:tcW w:type="dxa" w:w="1020"/>
            <w:vAlign w:val="top"/>
          </w:tcPr>
          <w:p>
            <w:r>
              <w:rPr>
                <w:rFonts w:ascii="Arial" w:hAnsi="Arial"/>
                <w:b w:val="0"/>
                <w:i w:val="0"/>
                <w:sz w:val="18"/>
              </w:rPr>
              <w:t>Substantive (ToD)</w:t>
            </w:r>
          </w:p>
        </w:tc>
        <w:tc>
          <w:tcPr>
            <w:tcW w:type="dxa" w:w="3402"/>
            <w:vAlign w:val="top"/>
          </w:tcPr>
          <w:p>
            <w:r>
              <w:rPr>
                <w:rFonts w:ascii="Arial" w:hAnsi="Arial"/>
                <w:b w:val="0"/>
                <w:i w:val="0"/>
                <w:sz w:val="18"/>
              </w:rPr>
              <w:t>Obtain the MSME advances portfolio schedule from CBS (MSME-tagged accounts) as at the balance sheet date.</w:t>
              <w:br/>
              <w:br/>
              <w:t>Step 1 — UDYAM verification: For a sample of 15 MSME accounts (selected by value using judgmental sampling — include both manufacturing and services), inspect the UDYAM registration certificate; confirm category (Micro/Small/Medium) matches CBS tagging; confirm investment and turnover criteria are within current limits.</w:t>
              <w:br/>
              <w:br/>
              <w:t>Step 2 — NPA norms for government-sponsored schemes: For MSME accounts covered under PMEGP, MUDRA, or other government schemes, confirm the 180-day overdue norm (instead of standard 90 days) applies only to eligible accounts and has been applied consistently.</w:t>
              <w:br/>
              <w:br/>
              <w:t>Step 3 — Special provision: Recompute provision for MSME NPA accounts; confirm bank is applying MSME-specific provision rates where applicable per RBI master circulars.</w:t>
              <w:br/>
              <w:br/>
              <w:t>Expected outcome: CBS tagging matches UDYAM category; NPA norms applied correctly; provision computed at correct rates.</w:t>
              <w:br/>
              <w:t>Exception protocol: Incorrect tagging to be corrected; any NPA reclassification to be quantified and reported.</w:t>
              <w:br/>
              <w:t>Assertion: [ACC, CLS, VAL]. Reference: SA 330, Para 18–25; SA 500, Para 7.</w:t>
            </w:r>
          </w:p>
        </w:tc>
        <w:tc>
          <w:tcPr>
            <w:tcW w:type="dxa" w:w="1417"/>
            <w:vAlign w:val="top"/>
          </w:tcPr>
          <w:p>
            <w:r>
              <w:rPr>
                <w:rFonts w:ascii="Arial" w:hAnsi="Arial"/>
                <w:b w:val="0"/>
                <w:i w:val="0"/>
                <w:sz w:val="18"/>
              </w:rPr>
              <w:t>SA 330, Para 18–25; SA 500, Para 7</w:t>
            </w:r>
          </w:p>
        </w:tc>
        <w:tc>
          <w:tcPr>
            <w:tcW w:type="dxa" w:w="1417"/>
            <w:vAlign w:val="top"/>
          </w:tcPr>
          <w:p>
            <w:r>
              <w:rPr>
                <w:rFonts w:ascii="Arial" w:hAnsi="Arial"/>
                <w:b w:val="0"/>
                <w:i w:val="0"/>
                <w:sz w:val="18"/>
              </w:rPr>
              <w:t>MSMED Act 2006 (as amended 2020); RBI Master Direction on MSME; ICAI GN on Audit of Banks 2025, Chapter 9</w:t>
            </w:r>
          </w:p>
        </w:tc>
        <w:tc>
          <w:tcPr>
            <w:tcW w:type="dxa" w:w="1417"/>
            <w:vAlign w:val="top"/>
          </w:tcPr>
          <w:p>
            <w:r>
              <w:rPr>
                <w:rFonts w:ascii="Arial" w:hAnsi="Arial"/>
                <w:b w:val="0"/>
                <w:i w:val="0"/>
                <w:sz w:val="18"/>
              </w:rPr>
              <w:t>Nearest ICAI reference — ICAI Ch. 3 — 3.12 — Loans and Borrowings (adapted)</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WP-ADV-08</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ADV-010</w:t>
            </w:r>
          </w:p>
        </w:tc>
        <w:tc>
          <w:tcPr>
            <w:tcW w:type="dxa" w:w="1417"/>
            <w:vAlign w:val="top"/>
          </w:tcPr>
          <w:p>
            <w:r>
              <w:rPr>
                <w:rFonts w:ascii="Arial" w:hAnsi="Arial"/>
                <w:b w:val="0"/>
                <w:i w:val="0"/>
                <w:sz w:val="18"/>
              </w:rPr>
              <w:t>Advances — Agricultural, KCC &amp; Priority Sector Classification</w:t>
            </w:r>
          </w:p>
        </w:tc>
        <w:tc>
          <w:tcPr>
            <w:tcW w:type="dxa" w:w="1020"/>
            <w:vAlign w:val="top"/>
          </w:tcPr>
          <w:p>
            <w:r>
              <w:rPr>
                <w:rFonts w:ascii="Arial" w:hAnsi="Arial"/>
                <w:b w:val="0"/>
                <w:i w:val="0"/>
                <w:sz w:val="18"/>
              </w:rPr>
              <w:t>[CLS, ACC, COM]</w:t>
            </w:r>
          </w:p>
        </w:tc>
        <w:tc>
          <w:tcPr>
            <w:tcW w:type="dxa" w:w="1701"/>
            <w:vAlign w:val="top"/>
          </w:tcPr>
          <w:p>
            <w:r>
              <w:rPr>
                <w:rFonts w:ascii="Arial" w:hAnsi="Arial"/>
                <w:b w:val="0"/>
                <w:i w:val="0"/>
                <w:sz w:val="18"/>
              </w:rPr>
              <w:t>Risk that agricultural loans are incorrectly classified under Priority Sector Lending targets, that KCC (Kisan Credit Card) loans are misclassified as non-agricultural, or that actual agricultural end-use is not verified, leading to overstated PSL achievement and regulatory non-compliance.</w:t>
            </w:r>
          </w:p>
        </w:tc>
        <w:tc>
          <w:tcPr>
            <w:tcW w:type="dxa" w:w="1247"/>
            <w:vAlign w:val="top"/>
          </w:tcPr>
          <w:p>
            <w:r>
              <w:rPr>
                <w:rFonts w:ascii="Arial" w:hAnsi="Arial"/>
                <w:b w:val="0"/>
                <w:i w:val="0"/>
                <w:sz w:val="18"/>
              </w:rPr>
              <w:t>Medium (PSL non-compliance attracts RIDF contribution penalty; KCC misclassification is a known audit finding per RBI inspection reports — ICAI GN on Audit of Banks 2025 Chapter 9).</w:t>
            </w:r>
          </w:p>
        </w:tc>
        <w:tc>
          <w:tcPr>
            <w:tcW w:type="dxa" w:w="1020"/>
            <w:vAlign w:val="top"/>
          </w:tcPr>
          <w:p>
            <w:r>
              <w:rPr>
                <w:rFonts w:ascii="Arial" w:hAnsi="Arial"/>
                <w:b w:val="0"/>
                <w:i w:val="0"/>
                <w:sz w:val="18"/>
              </w:rPr>
              <w:t>Substantive (ToD)</w:t>
            </w:r>
          </w:p>
        </w:tc>
        <w:tc>
          <w:tcPr>
            <w:tcW w:type="dxa" w:w="3402"/>
            <w:vAlign w:val="top"/>
          </w:tcPr>
          <w:p>
            <w:r>
              <w:rPr>
                <w:rFonts w:ascii="Arial" w:hAnsi="Arial"/>
                <w:b w:val="0"/>
                <w:i w:val="0"/>
                <w:sz w:val="18"/>
              </w:rPr>
              <w:t>Obtain the Priority Sector Lending (PSL) schedule and agricultural sub-target achievement report as at year end.</w:t>
              <w:br/>
              <w:br/>
              <w:t>Step 1 — KCC verification: Extract 15 KCC accounts from CBS; for each, inspect: (a) land records / Aadhaar-linked land database extract confirming borrower is a cultivator; (b) KCC credit limit computation per RBI formula (scale of finance × area + maintenance costs); (c) drawdown and repayment pattern consistent with crop cycle.</w:t>
              <w:br/>
              <w:br/>
              <w:t>Step 2 — PSL classification: For a sample of 20 accounts across PSL sub-categories (agriculture, MSME, housing, education, weaker sections), inspect the PSL tagging in CBS against the underlying loan purpose (sanction letter, end-use declaration).</w:t>
              <w:br/>
              <w:br/>
              <w:t>Step 3 — Achievement reconciliation: Agree the PSL achievement percentages reported in the LFAR and RBI quarterly returns (BSR-1) to the CBS-generated PSL schedule.</w:t>
              <w:br/>
              <w:br/>
              <w:t>Expected outcome: KCC accounts have verified land ownership; PSL tagging matches loan purpose; achievement figures in LFAR agree to returns.</w:t>
              <w:br/>
              <w:t>Exception protocol: Misclassified accounts to be reclassified; impact on PSL achievement and RIDF shortfall to be quantified.</w:t>
              <w:br/>
              <w:t>Assertion: [CLS, ACC, COM]. Reference: SA 330, Para 18–25; SA 500, Para 7.</w:t>
            </w:r>
          </w:p>
        </w:tc>
        <w:tc>
          <w:tcPr>
            <w:tcW w:type="dxa" w:w="1417"/>
            <w:vAlign w:val="top"/>
          </w:tcPr>
          <w:p>
            <w:r>
              <w:rPr>
                <w:rFonts w:ascii="Arial" w:hAnsi="Arial"/>
                <w:b w:val="0"/>
                <w:i w:val="0"/>
                <w:sz w:val="18"/>
              </w:rPr>
              <w:t>SA 330, Para 18–25; SA 500, Para 7</w:t>
            </w:r>
          </w:p>
        </w:tc>
        <w:tc>
          <w:tcPr>
            <w:tcW w:type="dxa" w:w="1417"/>
            <w:vAlign w:val="top"/>
          </w:tcPr>
          <w:p>
            <w:r>
              <w:rPr>
                <w:rFonts w:ascii="Arial" w:hAnsi="Arial"/>
                <w:b w:val="0"/>
                <w:i w:val="0"/>
                <w:sz w:val="18"/>
              </w:rPr>
              <w:t>RBI Master Direction on Priority Sector Lending (Sept 2020 updated); ICAI GN on Audit of Banks 2025, Chapter 9</w:t>
            </w:r>
          </w:p>
        </w:tc>
        <w:tc>
          <w:tcPr>
            <w:tcW w:type="dxa" w:w="1417"/>
            <w:vAlign w:val="top"/>
          </w:tcPr>
          <w:p>
            <w:r>
              <w:rPr>
                <w:rFonts w:ascii="Arial" w:hAnsi="Arial"/>
                <w:b w:val="0"/>
                <w:i w:val="0"/>
                <w:sz w:val="18"/>
              </w:rPr>
              <w:t>Nearest ICAI reference — ICAI Ch. 3 — 3.12 — Loans and Borrowings (adapted)</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WP-ADV-09</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ADV-011</w:t>
            </w:r>
          </w:p>
        </w:tc>
        <w:tc>
          <w:tcPr>
            <w:tcW w:type="dxa" w:w="1417"/>
            <w:vAlign w:val="top"/>
          </w:tcPr>
          <w:p>
            <w:r>
              <w:rPr>
                <w:rFonts w:ascii="Arial" w:hAnsi="Arial"/>
                <w:b w:val="0"/>
                <w:i w:val="0"/>
                <w:sz w:val="18"/>
              </w:rPr>
              <w:t>Advances — Government-Sponsored Scheme Loans (ECLGS, PMEGP)</w:t>
            </w:r>
          </w:p>
        </w:tc>
        <w:tc>
          <w:tcPr>
            <w:tcW w:type="dxa" w:w="1020"/>
            <w:vAlign w:val="top"/>
          </w:tcPr>
          <w:p>
            <w:r>
              <w:rPr>
                <w:rFonts w:ascii="Arial" w:hAnsi="Arial"/>
                <w:b w:val="0"/>
                <w:i w:val="0"/>
                <w:sz w:val="18"/>
              </w:rPr>
              <w:t>[OCC, ACC, CLS]</w:t>
            </w:r>
          </w:p>
        </w:tc>
        <w:tc>
          <w:tcPr>
            <w:tcW w:type="dxa" w:w="1701"/>
            <w:vAlign w:val="top"/>
          </w:tcPr>
          <w:p>
            <w:r>
              <w:rPr>
                <w:rFonts w:ascii="Arial" w:hAnsi="Arial"/>
                <w:b w:val="0"/>
                <w:i w:val="0"/>
                <w:sz w:val="18"/>
              </w:rPr>
              <w:t>Risk that loans disbursed under ECLGS or PMEGP are not in compliance with scheme guidelines (eligibility criteria, sanctioned amount limits, guarantee fees paid), leading to guarantee claims being rejected and unrecoverable advances.</w:t>
            </w:r>
          </w:p>
        </w:tc>
        <w:tc>
          <w:tcPr>
            <w:tcW w:type="dxa" w:w="1247"/>
            <w:vAlign w:val="top"/>
          </w:tcPr>
          <w:p>
            <w:r>
              <w:rPr>
                <w:rFonts w:ascii="Arial" w:hAnsi="Arial"/>
                <w:b w:val="0"/>
                <w:i w:val="0"/>
                <w:sz w:val="18"/>
              </w:rPr>
              <w:t>Medium (Scheme-specific compliance — ECLGS guarantee by NCGTC has strict eligibility criteria; guarantee fee default renders claim void — relevant given ECLGS wind-down post-FY24).</w:t>
            </w:r>
          </w:p>
        </w:tc>
        <w:tc>
          <w:tcPr>
            <w:tcW w:type="dxa" w:w="1020"/>
            <w:vAlign w:val="top"/>
          </w:tcPr>
          <w:p>
            <w:r>
              <w:rPr>
                <w:rFonts w:ascii="Arial" w:hAnsi="Arial"/>
                <w:b w:val="0"/>
                <w:i w:val="0"/>
                <w:sz w:val="18"/>
              </w:rPr>
              <w:t>Substantive (ToD)</w:t>
            </w:r>
          </w:p>
        </w:tc>
        <w:tc>
          <w:tcPr>
            <w:tcW w:type="dxa" w:w="3402"/>
            <w:vAlign w:val="top"/>
          </w:tcPr>
          <w:p>
            <w:r>
              <w:rPr>
                <w:rFonts w:ascii="Arial" w:hAnsi="Arial"/>
                <w:b w:val="0"/>
                <w:i w:val="0"/>
                <w:sz w:val="18"/>
              </w:rPr>
              <w:t>Obtain the ECLGS and PMEGP loan portfolio as at year end.</w:t>
              <w:br/>
              <w:br/>
              <w:t>Step 1 — Eligibility compliance: For 10 ECLGS accounts, inspect: (a) borrower's existing credit facility as at 29 February 2020 (ECLGS 1.0 benchmark date); (b) NPA status at benchmark date; (c) ECLGS amount does not exceed 20%/30%/40% of eligible outstanding as per applicable ECLGS tranche; (d) NCGTC guarantee certificate is on file.</w:t>
              <w:br/>
              <w:br/>
              <w:t>Step 2 — Guarantee fee payment: Confirm guarantee fees paid to NCGTC for all ECLGS accounts; trace payment challans to bank's payment records.</w:t>
              <w:br/>
              <w:br/>
              <w:t>Step 3 — PMEGP: For 5 PMEGP accounts, confirm subsidy/margin money has been received and credited correctly; end-use for project purpose evidenced by inspection report or utilisation certificate.</w:t>
              <w:br/>
              <w:br/>
              <w:t>Expected outcome: All sampled accounts meet scheme eligibility; guarantee certificates on file; fees paid.</w:t>
              <w:br/>
              <w:t>Exception protocol: Non-compliant accounts to be flagged; guarantee cover may be at risk — provide for potential non-recoverability.</w:t>
              <w:br/>
              <w:t>Assertion: [OCC, ACC, CLS]. Reference: SA 330, Para 18–25; SA 500, Para 7.</w:t>
            </w:r>
          </w:p>
        </w:tc>
        <w:tc>
          <w:tcPr>
            <w:tcW w:type="dxa" w:w="1417"/>
            <w:vAlign w:val="top"/>
          </w:tcPr>
          <w:p>
            <w:r>
              <w:rPr>
                <w:rFonts w:ascii="Arial" w:hAnsi="Arial"/>
                <w:b w:val="0"/>
                <w:i w:val="0"/>
                <w:sz w:val="18"/>
              </w:rPr>
              <w:t>SA 330, Para 18–25; SA 500, Para 7</w:t>
            </w:r>
          </w:p>
        </w:tc>
        <w:tc>
          <w:tcPr>
            <w:tcW w:type="dxa" w:w="1417"/>
            <w:vAlign w:val="top"/>
          </w:tcPr>
          <w:p>
            <w:r>
              <w:rPr>
                <w:rFonts w:ascii="Arial" w:hAnsi="Arial"/>
                <w:b w:val="0"/>
                <w:i w:val="0"/>
                <w:sz w:val="18"/>
              </w:rPr>
              <w:t>ECLGS Scheme Guidelines (NCGTC); PMEGP Scheme Guidelines (KVIC/MoMSME); ICAI GN on Audit of Banks 2025, Chapter 6</w:t>
            </w:r>
          </w:p>
        </w:tc>
        <w:tc>
          <w:tcPr>
            <w:tcW w:type="dxa" w:w="1417"/>
            <w:vAlign w:val="top"/>
          </w:tcPr>
          <w:p>
            <w:r>
              <w:rPr>
                <w:rFonts w:ascii="Arial" w:hAnsi="Arial"/>
                <w:b w:val="0"/>
                <w:i w:val="0"/>
                <w:sz w:val="18"/>
              </w:rPr>
              <w:t>Nearest ICAI reference — ICAI Ch. 3 — 3.12 — Loans and Borrowings (adapted)</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WP-ADV-10</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ADV-012</w:t>
            </w:r>
          </w:p>
        </w:tc>
        <w:tc>
          <w:tcPr>
            <w:tcW w:type="dxa" w:w="1417"/>
            <w:vAlign w:val="top"/>
          </w:tcPr>
          <w:p>
            <w:r>
              <w:rPr>
                <w:rFonts w:ascii="Arial" w:hAnsi="Arial"/>
                <w:b w:val="0"/>
                <w:i w:val="0"/>
                <w:sz w:val="18"/>
              </w:rPr>
              <w:t>Advances — Off-Balance Sheet: LC, BG, Co-Acceptance</w:t>
            </w:r>
          </w:p>
        </w:tc>
        <w:tc>
          <w:tcPr>
            <w:tcW w:type="dxa" w:w="1020"/>
            <w:vAlign w:val="top"/>
          </w:tcPr>
          <w:p>
            <w:r>
              <w:rPr>
                <w:rFonts w:ascii="Arial" w:hAnsi="Arial"/>
                <w:b w:val="0"/>
                <w:i w:val="0"/>
                <w:sz w:val="18"/>
              </w:rPr>
              <w:t>[EXI, COM, ACC]</w:t>
            </w:r>
          </w:p>
        </w:tc>
        <w:tc>
          <w:tcPr>
            <w:tcW w:type="dxa" w:w="1701"/>
            <w:vAlign w:val="top"/>
          </w:tcPr>
          <w:p>
            <w:r>
              <w:rPr>
                <w:rFonts w:ascii="Arial" w:hAnsi="Arial"/>
                <w:b w:val="0"/>
                <w:i w:val="0"/>
                <w:sz w:val="18"/>
              </w:rPr>
              <w:t>Risk that contingent liabilities arising from Letters of Credit, Bank Guarantees, and Co-acceptances are not fully recorded off-balance sheet, that devolved LC/BG amounts are not transferred to funded exposure on time, or that expired instruments remain on books, misstating contingent liabilities.</w:t>
            </w:r>
          </w:p>
        </w:tc>
        <w:tc>
          <w:tcPr>
            <w:tcW w:type="dxa" w:w="1247"/>
            <w:vAlign w:val="top"/>
          </w:tcPr>
          <w:p>
            <w:r>
              <w:rPr>
                <w:rFonts w:ascii="Arial" w:hAnsi="Arial"/>
                <w:b w:val="0"/>
                <w:i w:val="0"/>
                <w:sz w:val="18"/>
              </w:rPr>
              <w:t>High (Off-balance sheet items are not subject to IRAC provisioning until devolvement — incomplete recording directly impacts NPA detection; ICAI GN on Audit of Banks 2025 Chapter 6 treats NFB exposure as a key audit area).</w:t>
            </w:r>
          </w:p>
        </w:tc>
        <w:tc>
          <w:tcPr>
            <w:tcW w:type="dxa" w:w="1020"/>
            <w:vAlign w:val="top"/>
          </w:tcPr>
          <w:p>
            <w:r>
              <w:rPr>
                <w:rFonts w:ascii="Arial" w:hAnsi="Arial"/>
                <w:b w:val="0"/>
                <w:i w:val="0"/>
                <w:sz w:val="18"/>
              </w:rPr>
              <w:t>Substantive (ToD)</w:t>
            </w:r>
          </w:p>
        </w:tc>
        <w:tc>
          <w:tcPr>
            <w:tcW w:type="dxa" w:w="3402"/>
            <w:vAlign w:val="top"/>
          </w:tcPr>
          <w:p>
            <w:r>
              <w:rPr>
                <w:rFonts w:ascii="Arial" w:hAnsi="Arial"/>
                <w:b w:val="0"/>
                <w:i w:val="0"/>
                <w:sz w:val="18"/>
              </w:rPr>
              <w:t>Obtain the non-fund-based (NFB) exposure register from CBS (LC outstanding, BG outstanding, co-acceptances) as at year end.</w:t>
              <w:br/>
              <w:br/>
              <w:t>Step 1 — Existence of NFB instruments: For a sample of 20 NFB instruments (LC: 8, BG: 8, co-acceptance: 4), inspect: (a) original instrument copy; (b) expiry date — confirm not expired; (c) CBS record matches instrument amount, beneficiary, and expiry.</w:t>
              <w:br/>
              <w:br/>
              <w:t>Step 2 — Devolvement tracking: From the CBS devolution register, extract all LC/BG devolvements during the year; confirm each devolvement was transferred to a funded facility (LC Bill Purchased / BG Devolvement account) within the required timeframe; confirm IRAC classification of the funded account after devolvement.</w:t>
              <w:br/>
              <w:br/>
              <w:t>Step 3 — Commission accrual: Agree commission income on NFB instruments (LC commission, BG commission) to the CBS fee register; confirm accrual is on a pro-rata basis over the instrument tenure.</w:t>
              <w:br/>
              <w:br/>
              <w:t>Step 4 — Disclosure: Agree the total NFB exposure in the schedule to the contingent liabilities note in the financial statements.</w:t>
              <w:br/>
              <w:br/>
              <w:t>Expected outcome: NFB register complete; devolvements promptly funded; commission correctly accrued; disclosure matches register total.</w:t>
              <w:br/>
              <w:t>Exception protocol: Unrecorded devolvements to be booked; expired instruments to be removed; disclosure differences to be corrected.</w:t>
              <w:br/>
              <w:t>Assertion: [EXI, COM, ACC]. Reference: SA 330, Para 18–25; SA 500, Para 7; SA 501, Para 9.</w:t>
            </w:r>
          </w:p>
        </w:tc>
        <w:tc>
          <w:tcPr>
            <w:tcW w:type="dxa" w:w="1417"/>
            <w:vAlign w:val="top"/>
          </w:tcPr>
          <w:p>
            <w:r>
              <w:rPr>
                <w:rFonts w:ascii="Arial" w:hAnsi="Arial"/>
                <w:b w:val="0"/>
                <w:i w:val="0"/>
                <w:sz w:val="18"/>
              </w:rPr>
              <w:t>SA 330, Para 18–25; SA 500, Para 7; SA 501, Para 9</w:t>
            </w:r>
          </w:p>
        </w:tc>
        <w:tc>
          <w:tcPr>
            <w:tcW w:type="dxa" w:w="1417"/>
            <w:vAlign w:val="top"/>
          </w:tcPr>
          <w:p>
            <w:r>
              <w:rPr>
                <w:rFonts w:ascii="Arial" w:hAnsi="Arial"/>
                <w:b w:val="0"/>
                <w:i w:val="0"/>
                <w:sz w:val="18"/>
              </w:rPr>
              <w:t>AS 4, Para 14 (Contingencies); ICAI GN on Audit of Banks 2025, Chapter 6 — NFB Exposure; Schedule III Banking Companies</w:t>
            </w:r>
          </w:p>
        </w:tc>
        <w:tc>
          <w:tcPr>
            <w:tcW w:type="dxa" w:w="1417"/>
            <w:vAlign w:val="top"/>
          </w:tcPr>
          <w:p>
            <w:r>
              <w:rPr>
                <w:rFonts w:ascii="Arial" w:hAnsi="Arial"/>
                <w:b w:val="0"/>
                <w:i w:val="0"/>
                <w:sz w:val="18"/>
              </w:rPr>
              <w:t>Nearest ICAI reference — ICAI Ch. 4 — 4.7 — Contingent Liabilities; Ch. 3 — 3.12 (adapted)</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WP-ADV-11</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ADV-013</w:t>
            </w:r>
          </w:p>
        </w:tc>
        <w:tc>
          <w:tcPr>
            <w:tcW w:type="dxa" w:w="1417"/>
            <w:vAlign w:val="top"/>
          </w:tcPr>
          <w:p>
            <w:r>
              <w:rPr>
                <w:rFonts w:ascii="Arial" w:hAnsi="Arial"/>
                <w:b w:val="0"/>
                <w:i w:val="0"/>
                <w:sz w:val="18"/>
              </w:rPr>
              <w:t>Advances — End-Use Verification (Large Term Loans &amp; Project Finance)</w:t>
            </w:r>
          </w:p>
        </w:tc>
        <w:tc>
          <w:tcPr>
            <w:tcW w:type="dxa" w:w="1020"/>
            <w:vAlign w:val="top"/>
          </w:tcPr>
          <w:p>
            <w:r>
              <w:rPr>
                <w:rFonts w:ascii="Arial" w:hAnsi="Arial"/>
                <w:b w:val="0"/>
                <w:i w:val="0"/>
                <w:sz w:val="18"/>
              </w:rPr>
              <w:t>[OCC, ACC, RO]</w:t>
            </w:r>
          </w:p>
        </w:tc>
        <w:tc>
          <w:tcPr>
            <w:tcW w:type="dxa" w:w="1701"/>
            <w:vAlign w:val="top"/>
          </w:tcPr>
          <w:p>
            <w:r>
              <w:rPr>
                <w:rFonts w:ascii="Arial" w:hAnsi="Arial"/>
                <w:b w:val="0"/>
                <w:i w:val="0"/>
                <w:sz w:val="18"/>
              </w:rPr>
              <w:t>Risk that disbursements under large term loans or project finance facilities are diverted to purposes other than the sanctioned project, resulting in undetected NPA risk and potential fraud in the advances portfolio.</w:t>
            </w:r>
          </w:p>
        </w:tc>
        <w:tc>
          <w:tcPr>
            <w:tcW w:type="dxa" w:w="1247"/>
            <w:vAlign w:val="top"/>
          </w:tcPr>
          <w:p>
            <w:r>
              <w:rPr>
                <w:rFonts w:ascii="Arial" w:hAnsi="Arial"/>
                <w:b w:val="0"/>
                <w:i w:val="0"/>
                <w:sz w:val="18"/>
              </w:rPr>
              <w:t>High (End-use diversion is a fraud risk per SA 240 Para 26; RBI has issued specific guidelines on end-use monitoring for loans above ₹100 crore; ICAI GN on Audit of Banks 2025 Chapter 6).</w:t>
            </w:r>
          </w:p>
        </w:tc>
        <w:tc>
          <w:tcPr>
            <w:tcW w:type="dxa" w:w="1020"/>
            <w:vAlign w:val="top"/>
          </w:tcPr>
          <w:p>
            <w:r>
              <w:rPr>
                <w:rFonts w:ascii="Arial" w:hAnsi="Arial"/>
                <w:b w:val="0"/>
                <w:i w:val="0"/>
                <w:sz w:val="18"/>
              </w:rPr>
              <w:t>Substantive (ToD)</w:t>
            </w:r>
          </w:p>
        </w:tc>
        <w:tc>
          <w:tcPr>
            <w:tcW w:type="dxa" w:w="3402"/>
            <w:vAlign w:val="top"/>
          </w:tcPr>
          <w:p>
            <w:r>
              <w:rPr>
                <w:rFonts w:ascii="Arial" w:hAnsi="Arial"/>
                <w:b w:val="0"/>
                <w:i w:val="0"/>
                <w:sz w:val="18"/>
              </w:rPr>
              <w:t>Obtain the large term loan portfolio (above ₹100 crore outstanding or as per bank's credit policy threshold).</w:t>
              <w:br/>
              <w:br/>
              <w:t>Step 1 — Utilisation certificates: For 5 large term loan / project finance accounts, inspect: (a) utilisation certificate submitted by borrower for each tranche disbursed during the year; (b) concurrent audit / stock audit report confirming end-use; (c) lender's engineer / monitoring agency certificate (if available for infrastructure projects).</w:t>
              <w:br/>
              <w:br/>
              <w:t>Step 2 — Bank account level tracing: For the sampled accounts, trace the disbursed tranche to the borrower's current account; confirm the debit from the current account is to a vendor / contractor account consistent with project purpose (not to promoter accounts or unrelated parties).</w:t>
              <w:br/>
              <w:br/>
              <w:t>Step 3 — CIBIL / CRILC: Confirm the borrower is not under SMA or NPA classification with any other lender per CRILC data; obtain no-dues certificate / consortium borrower certificate if applicable.</w:t>
              <w:br/>
              <w:br/>
              <w:t>Expected outcome: Utilisation certificates on file for each tranche; fund flow consistent with sanctioned purpose; no CRILC red flags.</w:t>
              <w:br/>
              <w:t>Exception protocol: Any diversion evidence to be escalated immediately to engagement partner; consider reporting under Section 143(12) fraud reporting if wilful diversion is confirmed.</w:t>
              <w:br/>
              <w:t>Assertion: [OCC, ACC, RO]. Reference: SA 240, Para 26–33; SA 500, Para 7; SA 330, Para 20.</w:t>
            </w:r>
          </w:p>
        </w:tc>
        <w:tc>
          <w:tcPr>
            <w:tcW w:type="dxa" w:w="1417"/>
            <w:vAlign w:val="top"/>
          </w:tcPr>
          <w:p>
            <w:r>
              <w:rPr>
                <w:rFonts w:ascii="Arial" w:hAnsi="Arial"/>
                <w:b w:val="0"/>
                <w:i w:val="0"/>
                <w:sz w:val="18"/>
              </w:rPr>
              <w:t>SA 240, Para 26–33; SA 500, Para 7; SA 330, Para 20</w:t>
            </w:r>
          </w:p>
        </w:tc>
        <w:tc>
          <w:tcPr>
            <w:tcW w:type="dxa" w:w="1417"/>
            <w:vAlign w:val="top"/>
          </w:tcPr>
          <w:p>
            <w:r>
              <w:rPr>
                <w:rFonts w:ascii="Arial" w:hAnsi="Arial"/>
                <w:b w:val="0"/>
                <w:i w:val="0"/>
                <w:sz w:val="18"/>
              </w:rPr>
              <w:t>RBI Circular on End-Use of Funds (DBR.No.BP.BC.101/21.04.048/2017-18); ICAI GN on Audit of Banks 2025, Chapter 6</w:t>
            </w:r>
          </w:p>
        </w:tc>
        <w:tc>
          <w:tcPr>
            <w:tcW w:type="dxa" w:w="1417"/>
            <w:vAlign w:val="top"/>
          </w:tcPr>
          <w:p>
            <w:r>
              <w:rPr>
                <w:rFonts w:ascii="Arial" w:hAnsi="Arial"/>
                <w:b w:val="0"/>
                <w:i w:val="0"/>
                <w:sz w:val="18"/>
              </w:rPr>
              <w:t>Nearest ICAI reference — ICAI Ch. 3 — 3.12 — Loans and Borrowings; Ch. 4 — 4.6 — Journal Entries (adapted)</w:t>
            </w:r>
          </w:p>
        </w:tc>
        <w:tc>
          <w:tcPr>
            <w:tcW w:type="dxa" w:w="1417"/>
            <w:vAlign w:val="top"/>
          </w:tcPr>
          <w:p>
            <w:r>
              <w:rPr>
                <w:rFonts w:ascii="Arial" w:hAnsi="Arial"/>
                <w:b w:val="0"/>
                <w:i w:val="0"/>
                <w:sz w:val="18"/>
              </w:rPr>
              <w:t>[Tool: T-03 Corporate Intelligence (struckoff.varma.ai) — Struck-off / entity check on beneficiary accounts receiving fund transfers from top 5 large term loan borrowers; director/promoter entity matching]</w:t>
            </w:r>
          </w:p>
        </w:tc>
        <w:tc>
          <w:tcPr>
            <w:tcW w:type="dxa" w:w="850"/>
            <w:vAlign w:val="top"/>
          </w:tcPr>
          <w:p>
            <w:r>
              <w:rPr>
                <w:rFonts w:ascii="Arial" w:hAnsi="Arial"/>
                <w:b w:val="0"/>
                <w:i w:val="0"/>
                <w:sz w:val="18"/>
              </w:rPr>
              <w:t>WP-ADV-12</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ADV-014</w:t>
            </w:r>
          </w:p>
        </w:tc>
        <w:tc>
          <w:tcPr>
            <w:tcW w:type="dxa" w:w="1417"/>
            <w:vAlign w:val="top"/>
          </w:tcPr>
          <w:p>
            <w:r>
              <w:rPr>
                <w:rFonts w:ascii="Arial" w:hAnsi="Arial"/>
                <w:b w:val="0"/>
                <w:i w:val="0"/>
                <w:sz w:val="18"/>
              </w:rPr>
              <w:t>Advances — Cut-off: Year-End Disbursements &amp; Repayments</w:t>
            </w:r>
          </w:p>
        </w:tc>
        <w:tc>
          <w:tcPr>
            <w:tcW w:type="dxa" w:w="1020"/>
            <w:vAlign w:val="top"/>
          </w:tcPr>
          <w:p>
            <w:r>
              <w:rPr>
                <w:rFonts w:ascii="Arial" w:hAnsi="Arial"/>
                <w:b w:val="0"/>
                <w:i w:val="0"/>
                <w:sz w:val="18"/>
              </w:rPr>
              <w:t>[CUT, OCC, COM]</w:t>
            </w:r>
          </w:p>
        </w:tc>
        <w:tc>
          <w:tcPr>
            <w:tcW w:type="dxa" w:w="1701"/>
            <w:vAlign w:val="top"/>
          </w:tcPr>
          <w:p>
            <w:r>
              <w:rPr>
                <w:rFonts w:ascii="Arial" w:hAnsi="Arial"/>
                <w:b w:val="0"/>
                <w:i w:val="0"/>
                <w:sz w:val="18"/>
              </w:rPr>
              <w:t>Risk that disbursements made just before or after the balance sheet date are recorded in the wrong period, inflating the advances book at year end (for liquidity optics) or deflating it (for NPA ratio management), leading to incorrect advances balance.</w:t>
            </w:r>
          </w:p>
        </w:tc>
        <w:tc>
          <w:tcPr>
            <w:tcW w:type="dxa" w:w="1247"/>
            <w:vAlign w:val="top"/>
          </w:tcPr>
          <w:p>
            <w:r>
              <w:rPr>
                <w:rFonts w:ascii="Arial" w:hAnsi="Arial"/>
                <w:b w:val="0"/>
                <w:i w:val="0"/>
                <w:sz w:val="18"/>
              </w:rPr>
              <w:t>Medium (Year-end cut-off is a standard audit risk; CBS automated date-stamping reduces risk but manual journals can override — SA 330 Para 20).</w:t>
            </w:r>
          </w:p>
        </w:tc>
        <w:tc>
          <w:tcPr>
            <w:tcW w:type="dxa" w:w="1020"/>
            <w:vAlign w:val="top"/>
          </w:tcPr>
          <w:p>
            <w:r>
              <w:rPr>
                <w:rFonts w:ascii="Arial" w:hAnsi="Arial"/>
                <w:b w:val="0"/>
                <w:i w:val="0"/>
                <w:sz w:val="18"/>
              </w:rPr>
              <w:t>Cut-off</w:t>
            </w:r>
          </w:p>
        </w:tc>
        <w:tc>
          <w:tcPr>
            <w:tcW w:type="dxa" w:w="3402"/>
            <w:vAlign w:val="top"/>
          </w:tcPr>
          <w:p>
            <w:r>
              <w:rPr>
                <w:rFonts w:ascii="Arial" w:hAnsi="Arial"/>
                <w:b w:val="0"/>
                <w:i w:val="0"/>
                <w:sz w:val="18"/>
              </w:rPr>
              <w:t>Obtain the CBS transaction listing for advances (disbursements and repayments) for the period 25 March to 5 April (last 7 days before and first 5 working days after balance sheet date).</w:t>
              <w:br/>
              <w:br/>
              <w:t>Step 1 — Disbursements: Trace the 10 largest disbursements in the cut-off window to: (a) sanction letter date — confirm sanction pre-dates disbursement; (b) disbursement value date in CBS — confirm it matches the intended accounting date; (c) for disbursements on 31 March: confirm cheque / NEFT instruction date is on or before 31 March; confirm funds actually transferred.</w:t>
              <w:br/>
              <w:br/>
              <w:t>Step 2 — Repayments: Trace the 10 largest repayments in the cut-off window to CBS; confirm the value date of credit to the loan account; confirm no post-dated receipts booked before 31 March.</w:t>
              <w:br/>
              <w:br/>
              <w:t>Expected outcome: All disbursements and repayments recorded in the correct period; no bridging entries or backdating.</w:t>
              <w:br/>
              <w:t>Exception protocol: Any cut-off error to be quantified; propose adjusting entry; if pattern of late entries suggests intentional manipulation, report as fraud risk.</w:t>
              <w:br/>
              <w:t>Assertion: [CUT, OCC, COM]. Reference: SA 330, Para 20; SA 500, Para 7.</w:t>
            </w:r>
          </w:p>
        </w:tc>
        <w:tc>
          <w:tcPr>
            <w:tcW w:type="dxa" w:w="1417"/>
            <w:vAlign w:val="top"/>
          </w:tcPr>
          <w:p>
            <w:r>
              <w:rPr>
                <w:rFonts w:ascii="Arial" w:hAnsi="Arial"/>
                <w:b w:val="0"/>
                <w:i w:val="0"/>
                <w:sz w:val="18"/>
              </w:rPr>
              <w:t>SA 330, Para 20; SA 500, Para 7</w:t>
            </w:r>
          </w:p>
        </w:tc>
        <w:tc>
          <w:tcPr>
            <w:tcW w:type="dxa" w:w="1417"/>
            <w:vAlign w:val="top"/>
          </w:tcPr>
          <w:p>
            <w:r>
              <w:rPr>
                <w:rFonts w:ascii="Arial" w:hAnsi="Arial"/>
                <w:b w:val="0"/>
                <w:i w:val="0"/>
                <w:sz w:val="18"/>
              </w:rPr>
              <w:t>AS 1, Para 15 (Accrual and Periodicity); ICAI GN on Audit of Banks 2025, Chapter 6</w:t>
            </w:r>
          </w:p>
        </w:tc>
        <w:tc>
          <w:tcPr>
            <w:tcW w:type="dxa" w:w="1417"/>
            <w:vAlign w:val="top"/>
          </w:tcPr>
          <w:p>
            <w:r>
              <w:rPr>
                <w:rFonts w:ascii="Arial" w:hAnsi="Arial"/>
                <w:b w:val="0"/>
                <w:i w:val="0"/>
                <w:sz w:val="18"/>
              </w:rPr>
              <w:t>Nearest ICAI reference — ICAI Ch. 3 — 3.12 — Loans and Borrowings (adapted)</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WP-ADV-01</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ADV-015</w:t>
            </w:r>
          </w:p>
        </w:tc>
        <w:tc>
          <w:tcPr>
            <w:tcW w:type="dxa" w:w="1417"/>
            <w:vAlign w:val="top"/>
          </w:tcPr>
          <w:p>
            <w:r>
              <w:rPr>
                <w:rFonts w:ascii="Arial" w:hAnsi="Arial"/>
                <w:b w:val="0"/>
                <w:i w:val="0"/>
                <w:sz w:val="18"/>
              </w:rPr>
              <w:t>Advances — Disclosure &amp; Presentation (Schedule III — Banking Companies)</w:t>
            </w:r>
          </w:p>
        </w:tc>
        <w:tc>
          <w:tcPr>
            <w:tcW w:type="dxa" w:w="1020"/>
            <w:vAlign w:val="top"/>
          </w:tcPr>
          <w:p>
            <w:r>
              <w:rPr>
                <w:rFonts w:ascii="Arial" w:hAnsi="Arial"/>
                <w:b w:val="0"/>
                <w:i w:val="0"/>
                <w:sz w:val="18"/>
              </w:rPr>
              <w:t>[COM, CLS, ACC]</w:t>
            </w:r>
          </w:p>
        </w:tc>
        <w:tc>
          <w:tcPr>
            <w:tcW w:type="dxa" w:w="1701"/>
            <w:vAlign w:val="top"/>
          </w:tcPr>
          <w:p>
            <w:r>
              <w:rPr>
                <w:rFonts w:ascii="Arial" w:hAnsi="Arial"/>
                <w:b w:val="0"/>
                <w:i w:val="0"/>
                <w:sz w:val="18"/>
              </w:rPr>
              <w:t>Risk that the advances disclosure in Schedule 9 (Advances) and Schedule 12 (Contingent Liabilities) of the financial statements under the Banking Regulation Act / Schedule III (Banking Companies) is incomplete, incorrectly classified, or inconsistent with the notes, leading to non-compliance and misinformed users.</w:t>
            </w:r>
          </w:p>
        </w:tc>
        <w:tc>
          <w:tcPr>
            <w:tcW w:type="dxa" w:w="1247"/>
            <w:vAlign w:val="top"/>
          </w:tcPr>
          <w:p>
            <w:r>
              <w:rPr>
                <w:rFonts w:ascii="Arial" w:hAnsi="Arial"/>
                <w:b w:val="0"/>
                <w:i w:val="0"/>
                <w:sz w:val="18"/>
              </w:rPr>
              <w:t>Medium (Disclosure completeness — standard risk; Banking Companies Schedule III has specific mandatory format requirements — ICAI GN on Audit of Banks 2025 Appendix).</w:t>
            </w:r>
          </w:p>
        </w:tc>
        <w:tc>
          <w:tcPr>
            <w:tcW w:type="dxa" w:w="1020"/>
            <w:vAlign w:val="top"/>
          </w:tcPr>
          <w:p>
            <w:r>
              <w:rPr>
                <w:rFonts w:ascii="Arial" w:hAnsi="Arial"/>
                <w:b w:val="0"/>
                <w:i w:val="0"/>
                <w:sz w:val="18"/>
              </w:rPr>
              <w:t>Disclosure</w:t>
            </w:r>
          </w:p>
        </w:tc>
        <w:tc>
          <w:tcPr>
            <w:tcW w:type="dxa" w:w="3402"/>
            <w:vAlign w:val="top"/>
          </w:tcPr>
          <w:p>
            <w:r>
              <w:rPr>
                <w:rFonts w:ascii="Arial" w:hAnsi="Arial"/>
                <w:b w:val="0"/>
                <w:i w:val="0"/>
                <w:sz w:val="18"/>
              </w:rPr>
              <w:t>Obtain the draft financial statements including Schedule 9 (Advances) and related notes.</w:t>
              <w:br/>
              <w:br/>
              <w:t>Step 1 — Schedule 9 completeness: Confirm all required sub-classifications are disclosed: (a) A — Secured vs Unsecured; (b) B — Priority sector / Public sector / Banks / Others; (c) C — Bills purchased and discounted / Cash credits, overdrafts, loans / Term loans; agree each sub-total to CBS portfolio reports.</w:t>
              <w:br/>
              <w:br/>
              <w:t>Step 2 — NPA disclosure: Confirm GNPA amount, NNPA amount, NPA ratios, and movement in NPA during the year are disclosed as per RBI guidelines and ICAI GN 2025 Appendix format.</w:t>
              <w:br/>
              <w:br/>
              <w:t>Step 3 — Restructured accounts disclosure: Confirm disclosure of restructured accounts (number, outstanding, provision) as required by RBI circular and ICAI GN 2025.</w:t>
              <w:br/>
              <w:br/>
              <w:t>Step 4 — Contingent liabilities (Schedule 12): Agree NFB exposure (LC, BG, co-acceptance) total to the NFB register tested in ADV-012; confirm claims against bank and other contingencies are disclosed per AS 4.</w:t>
              <w:br/>
              <w:br/>
              <w:t>Step 5 — LFAR linkage: Confirm disclosures in Schedule 9 are consistent with the LFAR Advances section (BK.ADV.13).</w:t>
              <w:br/>
              <w:br/>
              <w:t>Expected outcome: All Schedule 9 sub-classifications present; NPA and restructuring disclosures complete; Schedule 12 agrees to NFB register.</w:t>
              <w:br/>
              <w:t>Exception protocol: Missing or incorrect disclosures to be corrected before sign-off; material omissions to be communicated to TCWG per SA 260.</w:t>
              <w:br/>
              <w:t>Assertion: [COM, CLS, ACC]. Reference: SA 700, Para 10–15; SA 260, Para 12–15.</w:t>
            </w:r>
          </w:p>
        </w:tc>
        <w:tc>
          <w:tcPr>
            <w:tcW w:type="dxa" w:w="1417"/>
            <w:vAlign w:val="top"/>
          </w:tcPr>
          <w:p>
            <w:r>
              <w:rPr>
                <w:rFonts w:ascii="Arial" w:hAnsi="Arial"/>
                <w:b w:val="0"/>
                <w:i w:val="0"/>
                <w:sz w:val="18"/>
              </w:rPr>
              <w:t>SA 700, Para 10–15; SA 260, Para 12–15</w:t>
            </w:r>
          </w:p>
        </w:tc>
        <w:tc>
          <w:tcPr>
            <w:tcW w:type="dxa" w:w="1417"/>
            <w:vAlign w:val="top"/>
          </w:tcPr>
          <w:p>
            <w:r>
              <w:rPr>
                <w:rFonts w:ascii="Arial" w:hAnsi="Arial"/>
                <w:b w:val="0"/>
                <w:i w:val="0"/>
                <w:sz w:val="18"/>
              </w:rPr>
              <w:t>AS 4, Para 14 (Contingencies); Banking Regulation Act 1949, Third Schedule (Form A); ICAI GN on Audit of Banks 2025, Chapter 12 — Financial Statements</w:t>
            </w:r>
          </w:p>
        </w:tc>
        <w:tc>
          <w:tcPr>
            <w:tcW w:type="dxa" w:w="1417"/>
            <w:vAlign w:val="top"/>
          </w:tcPr>
          <w:p>
            <w:r>
              <w:rPr>
                <w:rFonts w:ascii="Arial" w:hAnsi="Arial"/>
                <w:b w:val="0"/>
                <w:i w:val="0"/>
                <w:sz w:val="18"/>
              </w:rPr>
              <w:t>Nearest ICAI reference — ICAI Ch. 5 — 5.3 — Schedule III Checklist; Ch. 3 — 3.12 (adapted)</w:t>
            </w:r>
          </w:p>
        </w:tc>
        <w:tc>
          <w:tcPr>
            <w:tcW w:type="dxa" w:w="1417"/>
            <w:vAlign w:val="top"/>
          </w:tcPr>
          <w:p>
            <w:r>
              <w:rPr>
                <w:rFonts w:ascii="Arial" w:hAnsi="Arial"/>
                <w:b w:val="0"/>
                <w:i w:val="0"/>
                <w:sz w:val="18"/>
              </w:rPr>
              <w:t>Manual procedure</w:t>
            </w:r>
          </w:p>
        </w:tc>
        <w:tc>
          <w:tcPr>
            <w:tcW w:type="dxa" w:w="850"/>
            <w:vAlign w:val="top"/>
          </w:tcPr>
          <w:p>
            <w:r>
              <w:rPr>
                <w:rFonts w:ascii="Arial" w:hAnsi="Arial"/>
                <w:b w:val="0"/>
                <w:i w:val="0"/>
                <w:sz w:val="18"/>
              </w:rPr>
              <w:t>WP-ADV-13</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bl>
    <w:sectPr w:rsidR="00FC693F" w:rsidRPr="0006063C" w:rsidSect="00034616">
      <w:headerReference w:type="default" r:id="rId9"/>
      <w:footerReference w:type="default" r:id="rId10"/>
      <w:pgSz w:w="16838" w:h="11906"/>
      <w:pgMar w:top="1134"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5102"/>
      <w:gridCol w:w="5102"/>
    </w:tblGrid>
    <w:tr>
      <w:tc>
        <w:tcPr>
          <w:tcW w:type="dxa" w:w="5102"/>
          <w:tcBorders>
            <w:top w:val="none"/>
            <w:left w:val="none"/>
            <w:bottom w:val="none"/>
            <w:right w:val="none"/>
          </w:tcBorders>
        </w:tcPr>
        <w:p>
          <w:r>
            <w:rPr>
              <w:rFonts w:ascii="Kunstler Script" w:hAnsi="Kunstler Script"/>
              <w:b/>
              <w:sz w:val="22"/>
            </w:rPr>
            <w:t>Varma &amp; Varma</w:t>
          </w:r>
        </w:p>
      </w:tc>
      <w:tc>
        <w:tcPr>
          <w:tcW w:type="dxa" w:w="5102"/>
          <w:tcBorders>
            <w:top w:val="none"/>
            <w:left w:val="none"/>
            <w:bottom w:val="none"/>
            <w:right w:val="none"/>
          </w:tcBorders>
        </w:tcPr>
        <w:p>
          <w:pPr>
            <w:jc w:val="right"/>
          </w:pPr>
          <w:r>
            <w:rPr>
              <w:rFonts w:ascii="Arial" w:hAnsi="Arial"/>
              <w:sz w:val="18"/>
            </w:rPr>
            <w:fldChar w:fldCharType="begin"/>
            <w:instrText>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5102"/>
      <w:gridCol w:w="5102"/>
    </w:tblGrid>
    <w:tr>
      <w:tc>
        <w:tcPr>
          <w:tcW w:type="dxa" w:w="5102"/>
          <w:tcBorders>
            <w:top w:val="none"/>
            <w:left w:val="none"/>
            <w:bottom w:val="none"/>
            <w:right w:val="none"/>
          </w:tcBorders>
        </w:tcPr>
        <w:p>
          <w:r>
            <w:rPr>
              <w:rFonts w:ascii="Arial" w:hAnsi="Arial"/>
              <w:b w:val="0"/>
              <w:i w:val="0"/>
              <w:sz w:val="18"/>
            </w:rPr>
            <w:t>[Client Name]</w:t>
          </w:r>
        </w:p>
      </w:tc>
      <w:tc>
        <w:tcPr>
          <w:tcW w:type="dxa" w:w="5102"/>
          <w:tcBorders>
            <w:top w:val="none"/>
            <w:left w:val="none"/>
            <w:bottom w:val="none"/>
            <w:right w:val="none"/>
          </w:tcBorders>
        </w:tcPr>
        <w:p>
          <w:pPr>
            <w:jc w:val="right"/>
          </w:pPr>
          <w:r>
            <w:rPr>
              <w:rFonts w:ascii="Arial" w:hAnsi="Arial"/>
              <w:b w:val="0"/>
              <w:i w:val="0"/>
              <w:sz w:val="18"/>
            </w:rPr>
            <w:t>Statutory Audit for the year ended [DD.MM.YYYY]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CD25981-CB85-473D-AF79-249B310EE607}"/>
</file>

<file path=customXml/itemProps3.xml><?xml version="1.0" encoding="utf-8"?>
<ds:datastoreItem xmlns:ds="http://schemas.openxmlformats.org/officeDocument/2006/customXml" ds:itemID="{46329735-8566-4123-95C9-6CF6B5B2944E}"/>
</file>

<file path=customXml/itemProps4.xml><?xml version="1.0" encoding="utf-8"?>
<ds:datastoreItem xmlns:ds="http://schemas.openxmlformats.org/officeDocument/2006/customXml" ds:itemID="{ABA734E7-288F-45BF-807D-45C687A2773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