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DEPOSITS &amp; BORROWINGS (CASA / TERM / NRE / FCNR / INTERBANK)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BK.DEP.00  |  Framework: AS  |  ICAI GN on Audit of Banks (2025 Edition)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Nearest ICAI Ch. 3 — 3.15 / 3.12 — Trade Payables / Loans and Borrowings (adapted per ICAI GN on Audit of Banks 2025, Chapter 10)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Lead Schedule &amp; GL Reconciliation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deposit sub-ledger (CASA, term, NRE/NRO/FCNR(B)) does not reconcile to GL, or opening balances are misstated.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(CBS-GL auto-match for deposits; residual risk from manual entries and forex revaluation for FCNR(B) — SA 510 Para 6).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deposit lead schedule as at year end by type (Savings, Current, Term, NRE/NRO/FCNR). Cast and cross-foot. Agree to GL. Agree opening balances to prior-year audited closing. For FCNR(B): confirm forex revaluation at year-end closing rate. Expected outcome: GL agrees; forex revaluation correct. Exception protocol: Differences — reconcile; forex rate error — recompute. Assertion: [EXI, COM, VAL]. Reference: SA 510, Para 6–9; AS 11, Para 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510, Para 6–9;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5, Para 6; AS 11, Para 8 (Foreign Currency)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3.15 / 3.12 (adapted per ICAI GN on Audit of Banks 2025, Chapter 10)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Type Verification (CASA, Term, NRE/NRO/FCNR)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[CLS, EXI,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deposits are misclassified between types — e.g., NRE accounts without valid FEMA documentation, or term deposits with incorrect tenor classification — leading to incorrect interest rate application and regulatory non-compliance.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(Classification is CBS-driven; risk from incorrect onboarding or FEMA documentation gaps for NRE/NRO accounts — ICAI GN on Audit of Banks 2025 Chapter 10).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a sample of 20 deposits (5 per category: Savings, Term, NRE, FCNR): Inspect account opening form and KYC documentation; for NRE/NRO/FCNR — inspect RBI permission / FEMA documentation and customer's NRI status evidence; confirm deposit type in CBS matches the account opening document; confirm interest rate applied matches the bank's published rate card for the relevant tenor/type. Expected outcome: All 20 correctly classified; rates match rate card. Exception protocol: Misclassification — reclassify; interest recalculation if rate error. Assertion: [CLS, EXI, ACC]. Reference: SA 330, Para 18–25; SA 500, Para 9.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500, Para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FEMA 1999; RBI Master Direction on NRI Accounts; AS 11,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3.15 (adapted per ICAI GN on Audit of Banks 2025, Chapter 10)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Inoperative &amp; Dormant Accounts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inoperative/dormant accounts are not correctly identified and transferred to the RBI Depositor Education and Awareness Fund (DEAF) after 10 years of inoperativity, or that balances are used for fictitious entries.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(Regulatory obligation under Banking Regulation Act Section 26A; DEAF transfer default attracts RBI penalty — ICAI GN on Audit of Banks 2025 Chapter 10).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list of inoperative/dormant accounts from CBS. (a) Confirm accounts inactive for &gt;2 years are tagged 'inoperative' in CBS; (b) For accounts inactive for &gt;10 years: confirm DEAF transfer has been made or accounts have been activated by customer; trace sample of 10 DEAF transfers to RBI receipt acknowledgement; (c) Inspect controls preventing debit of inoperative accounts without branch manager override; test 5 instances of override for authorization. Expected outcome: All 10-year accounts transferred to DEAF; controls on inoperative accounts functioning. Exception protocol: Missed DEAF transfers — report; quantify penalty exposure. Assertion: [EXI, COM, VAL]. Reference: SA 330, Para 8–15;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8–15;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Section 26A; RBI Circular on DEAF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3.15 (adapted); Ch. 4 — 4.2 — Laws and Regulations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Interest Accrual &amp; Payout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[ACC, VAL,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interest accrual on deposits is computed at incorrect rates or on incorrect balances, or that year-end interest payable is understated, leading to understated liabilities and overstated profit.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(Interest accrual is material for banks; errors in system rate tables affect all deposits simultaneously — a systemic risk. SA 540 estimate risk — ICAI GN on Audit of Banks 2025 Chapter 10).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Step 1 — Rate verification: For a sample of 20 term deposits, recompute interest payable at year end using: principal × rate × days/365; compare to CBS accrual. Confirm rate matches bank's published rate card for the deposit date and tenor. [Tool: T-01 Data Sense Pro (datasense.varma.ai) — MUS sampling on term deposit interest accrual; recompute for sample above ₹[threshold]]. Step 2 — Savings/Current: Confirm daily balance method applied for savings interest (where applicable per bank policy). Step 3 — Cut-off: For deposits maturing within 7 days before and after year end, confirm interest accrual up to and including 31 March correctly captured. Expected outcome: Computed interest agrees to CBS accrual within ₹[performance materiality]. Exception protocol: Systematic rate error — expand to full population; quantify total under/over-accrual. Assertion: [ACC, VAL, CUT]. Reference: SA 540, Para 8–15; SA 330, Para 20.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330, Para 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9, Para 9 (Accrual); AS 29, Para 14 (Accrued Interest Payable)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3.12 (adapted per ICAI GN on Audit of Banks 2025, Chapter 10)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MUS sampling on term deposit interest accrual computation above ₹[threshold]]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LFAR &amp; Disclosure (Schedule III — Banking)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CLS,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deposit disclosures in Schedule 3 (Deposits) and Schedule 4 (Borrowings) are incomplete or do not disclose NRE/NRO/FCNR balances separately, or that LFAR Deposits section is inconsistent with workpaper findings.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(Disclosure completeness — standard risk; specific format requirements under Banking Regulation Act Third Schedule).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Disclosure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Schedule 3 (Deposits) and Schedule 4 (Borrowings) from draft financial statements. Confirm sub-classifications: Schedule 3 — (i) Demand deposits; (ii) Savings deposits; (iii) Term deposits — sub-totalled by banks / others; foreign currency deposits (NRE/FCNR) disclosed separately. Agree sub-totals to CBS deposit register. For Schedule 4 — borrowings — confirm interbank borrowings, Tier-I/Tier-II bonds disclosed by type. Cross-reference LFAR Deposits section to WP-DEP-01 through WP-DEP-04. Expected outcome: Schedules complete; sub-totals agree; LFAR consistent. Exception protocol: Missing disclosure — add before sign-off. Assertion: [COM, CLS, ACC]. Reference: SA 700, Para 10–15.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700, Para 10–15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Third Schedule (Schedules 3 &amp; 4); AS 11, Para 8; ICAI GN on Audit of Banks 2025, Chapter 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5 — 5.3 — Schedule III Checklist; Ch. 6 — 6.1 — Audit Report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E6881D-B75E-4610-8214-C40467F6DAFD}"/>
</file>

<file path=customXml/itemProps3.xml><?xml version="1.0" encoding="utf-8"?>
<ds:datastoreItem xmlns:ds="http://schemas.openxmlformats.org/officeDocument/2006/customXml" ds:itemID="{AE8DD3F7-64C7-41DB-9A83-C6162308B999}"/>
</file>

<file path=customXml/itemProps4.xml><?xml version="1.0" encoding="utf-8"?>
<ds:datastoreItem xmlns:ds="http://schemas.openxmlformats.org/officeDocument/2006/customXml" ds:itemID="{32127E8A-8169-416A-BF9D-6B2A1A3DA2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