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20"/>
        </w:rPr>
        <w:t>AUDIT PROGRAMME — INCOME &amp; EXPENDITURE — BANK-SPECIFIC (INTEREST INCOME, FEE INCOME, TREASURY, INTER-BRANCH)</w:t>
      </w:r>
    </w:p>
    <w:p>
      <w:pPr>
        <w:jc w:val="center"/>
      </w:pPr>
      <w:r>
        <w:rPr>
          <w:rFonts w:ascii="Arial" w:hAnsi="Arial"/>
          <w:b w:val="0"/>
          <w:i w:val="0"/>
          <w:sz w:val="18"/>
        </w:rPr>
        <w:t>BK.INC.00  |  Framework: AS  |  Governing: ICAI GN on Audit of Banks (2025 Edition); RBI Master Directions; Banking Regulation Act 1949</w:t>
      </w:r>
    </w:p>
    <w:p>
      <w:pPr>
        <w:jc w:val="center"/>
      </w:pPr>
      <w:r>
        <w:rPr>
          <w:rFonts w:ascii="Arial" w:hAnsi="Arial"/>
          <w:b w:val="0"/>
          <w:i/>
          <w:sz w:val="18"/>
        </w:rPr>
        <w:t>ICAI Reference: ICAI Ch. 3 — 3.2 — Interest Income; Ch. 3 — 3.3 — Other Income; Ch. 3 — 3.14 — Profit on Sale of Investments | Adapted per ICAI GN on Audit of Banks (2025 Edition), Chapter 7</w:t>
      </w:r>
    </w:p>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gridCol w:w="1081"/>
        <w:gridCol w:w="1081"/>
        <w:gridCol w:w="1081"/>
        <w:gridCol w:w="1081"/>
        <w:gridCol w:w="1081"/>
        <w:gridCol w:w="1081"/>
      </w:tblGrid>
      <w:tr>
        <w:tc>
          <w:tcPr>
            <w:tcW w:type="dxa" w:w="680"/>
            <w:shd w:val="clear" w:color="auto" w:fill="D5E8F0"/>
            <w:vAlign w:val="top"/>
          </w:tcPr>
          <w:p>
            <w:r>
              <w:rPr>
                <w:rFonts w:ascii="Arial" w:hAnsi="Arial"/>
                <w:b/>
                <w:i w:val="0"/>
                <w:sz w:val="18"/>
              </w:rPr>
              <w:t>Sr. No.</w:t>
            </w:r>
          </w:p>
        </w:tc>
        <w:tc>
          <w:tcPr>
            <w:tcW w:type="dxa" w:w="1417"/>
            <w:shd w:val="clear" w:color="auto" w:fill="D5E8F0"/>
            <w:vAlign w:val="top"/>
          </w:tcPr>
          <w:p>
            <w:r>
              <w:rPr>
                <w:rFonts w:ascii="Arial" w:hAnsi="Arial"/>
                <w:b/>
                <w:i w:val="0"/>
                <w:sz w:val="18"/>
              </w:rPr>
              <w:t>Audit Area</w:t>
            </w:r>
          </w:p>
        </w:tc>
        <w:tc>
          <w:tcPr>
            <w:tcW w:type="dxa" w:w="1020"/>
            <w:shd w:val="clear" w:color="auto" w:fill="D5E8F0"/>
            <w:vAlign w:val="top"/>
          </w:tcPr>
          <w:p>
            <w:r>
              <w:rPr>
                <w:rFonts w:ascii="Arial" w:hAnsi="Arial"/>
                <w:b/>
                <w:i w:val="0"/>
                <w:sz w:val="18"/>
              </w:rPr>
              <w:t>Assertions</w:t>
            </w:r>
          </w:p>
        </w:tc>
        <w:tc>
          <w:tcPr>
            <w:tcW w:type="dxa" w:w="1701"/>
            <w:shd w:val="clear" w:color="auto" w:fill="D5E8F0"/>
            <w:vAlign w:val="top"/>
          </w:tcPr>
          <w:p>
            <w:r>
              <w:rPr>
                <w:rFonts w:ascii="Arial" w:hAnsi="Arial"/>
                <w:b/>
                <w:i w:val="0"/>
                <w:sz w:val="18"/>
              </w:rPr>
              <w:t>Risk Description</w:t>
            </w:r>
          </w:p>
        </w:tc>
        <w:tc>
          <w:tcPr>
            <w:tcW w:type="dxa" w:w="1247"/>
            <w:shd w:val="clear" w:color="auto" w:fill="D5E8F0"/>
            <w:vAlign w:val="top"/>
          </w:tcPr>
          <w:p>
            <w:r>
              <w:rPr>
                <w:rFonts w:ascii="Arial" w:hAnsi="Arial"/>
                <w:b/>
                <w:i w:val="0"/>
                <w:sz w:val="18"/>
              </w:rPr>
              <w:t>Risk Level</w:t>
            </w:r>
          </w:p>
        </w:tc>
        <w:tc>
          <w:tcPr>
            <w:tcW w:type="dxa" w:w="1020"/>
            <w:shd w:val="clear" w:color="auto" w:fill="D5E8F0"/>
            <w:vAlign w:val="top"/>
          </w:tcPr>
          <w:p>
            <w:r>
              <w:rPr>
                <w:rFonts w:ascii="Arial" w:hAnsi="Arial"/>
                <w:b/>
                <w:i w:val="0"/>
                <w:sz w:val="18"/>
              </w:rPr>
              <w:t>Proc. Type</w:t>
            </w:r>
          </w:p>
        </w:tc>
        <w:tc>
          <w:tcPr>
            <w:tcW w:type="dxa" w:w="3288"/>
            <w:shd w:val="clear" w:color="auto" w:fill="D5E8F0"/>
            <w:vAlign w:val="top"/>
          </w:tcPr>
          <w:p>
            <w:r>
              <w:rPr>
                <w:rFonts w:ascii="Arial" w:hAnsi="Arial"/>
                <w:b/>
                <w:i w:val="0"/>
                <w:sz w:val="18"/>
              </w:rPr>
              <w:t>Detailed Procedure</w:t>
            </w:r>
          </w:p>
        </w:tc>
        <w:tc>
          <w:tcPr>
            <w:tcW w:type="dxa" w:w="1417"/>
            <w:shd w:val="clear" w:color="auto" w:fill="D5E8F0"/>
            <w:vAlign w:val="top"/>
          </w:tcPr>
          <w:p>
            <w:r>
              <w:rPr>
                <w:rFonts w:ascii="Arial" w:hAnsi="Arial"/>
                <w:b/>
                <w:i w:val="0"/>
                <w:sz w:val="18"/>
              </w:rPr>
              <w:t>SA Reference</w:t>
            </w:r>
          </w:p>
        </w:tc>
        <w:tc>
          <w:tcPr>
            <w:tcW w:type="dxa" w:w="1417"/>
            <w:shd w:val="clear" w:color="auto" w:fill="D5E8F0"/>
            <w:vAlign w:val="top"/>
          </w:tcPr>
          <w:p>
            <w:r>
              <w:rPr>
                <w:rFonts w:ascii="Arial" w:hAnsi="Arial"/>
                <w:b/>
                <w:i w:val="0"/>
                <w:sz w:val="18"/>
              </w:rPr>
              <w:t>AS Reference</w:t>
            </w:r>
          </w:p>
        </w:tc>
        <w:tc>
          <w:tcPr>
            <w:tcW w:type="dxa" w:w="1417"/>
            <w:shd w:val="clear" w:color="auto" w:fill="D5E8F0"/>
            <w:vAlign w:val="top"/>
          </w:tcPr>
          <w:p>
            <w:r>
              <w:rPr>
                <w:rFonts w:ascii="Arial" w:hAnsi="Arial"/>
                <w:b/>
                <w:i w:val="0"/>
                <w:sz w:val="18"/>
              </w:rPr>
              <w:t>ICAI Template Ref</w:t>
            </w:r>
          </w:p>
        </w:tc>
        <w:tc>
          <w:tcPr>
            <w:tcW w:type="dxa" w:w="1417"/>
            <w:shd w:val="clear" w:color="auto" w:fill="D5E8F0"/>
            <w:vAlign w:val="top"/>
          </w:tcPr>
          <w:p>
            <w:r>
              <w:rPr>
                <w:rFonts w:ascii="Arial" w:hAnsi="Arial"/>
                <w:b/>
                <w:i w:val="0"/>
                <w:sz w:val="18"/>
              </w:rPr>
              <w:t>Tool Reference</w:t>
            </w:r>
          </w:p>
        </w:tc>
        <w:tc>
          <w:tcPr>
            <w:tcW w:type="dxa" w:w="850"/>
            <w:shd w:val="clear" w:color="auto" w:fill="D5E8F0"/>
            <w:vAlign w:val="top"/>
          </w:tcPr>
          <w:p>
            <w:r>
              <w:rPr>
                <w:rFonts w:ascii="Arial" w:hAnsi="Arial"/>
                <w:b/>
                <w:i w:val="0"/>
                <w:sz w:val="18"/>
              </w:rPr>
              <w:t>WP Ref</w:t>
            </w:r>
          </w:p>
        </w:tc>
        <w:tc>
          <w:tcPr>
            <w:tcW w:type="dxa" w:w="1134"/>
            <w:shd w:val="clear" w:color="auto" w:fill="D5E8F0"/>
            <w:vAlign w:val="top"/>
          </w:tcPr>
          <w:p>
            <w:r>
              <w:rPr>
                <w:rFonts w:ascii="Arial" w:hAnsi="Arial"/>
                <w:b/>
                <w:i w:val="0"/>
                <w:sz w:val="18"/>
              </w:rPr>
              <w:t>Done By / Date</w:t>
            </w:r>
          </w:p>
        </w:tc>
        <w:tc>
          <w:tcPr>
            <w:tcW w:type="dxa" w:w="1134"/>
            <w:shd w:val="clear" w:color="auto" w:fill="D5E8F0"/>
            <w:vAlign w:val="top"/>
          </w:tcPr>
          <w:p>
            <w:r>
              <w:rPr>
                <w:rFonts w:ascii="Arial" w:hAnsi="Arial"/>
                <w:b/>
                <w:i w:val="0"/>
                <w:sz w:val="18"/>
              </w:rPr>
              <w:t>Reviewed By / Date</w:t>
            </w:r>
          </w:p>
        </w:tc>
      </w:tr>
      <w:tr>
        <w:tc>
          <w:tcPr>
            <w:tcW w:type="dxa" w:w="680"/>
            <w:vAlign w:val="top"/>
          </w:tcPr>
          <w:p>
            <w:r>
              <w:rPr>
                <w:rFonts w:ascii="Arial" w:hAnsi="Arial"/>
                <w:b w:val="0"/>
                <w:i w:val="0"/>
                <w:sz w:val="18"/>
              </w:rPr>
              <w:t>INC-001</w:t>
            </w:r>
          </w:p>
        </w:tc>
        <w:tc>
          <w:tcPr>
            <w:tcW w:type="dxa" w:w="1417"/>
            <w:vAlign w:val="top"/>
          </w:tcPr>
          <w:p>
            <w:r>
              <w:rPr>
                <w:rFonts w:ascii="Arial" w:hAnsi="Arial"/>
                <w:b w:val="0"/>
                <w:i w:val="0"/>
                <w:sz w:val="18"/>
              </w:rPr>
              <w:t>Income — Interest Income Recognition (IRAC Non-Accrual Compliance)</w:t>
            </w:r>
          </w:p>
        </w:tc>
        <w:tc>
          <w:tcPr>
            <w:tcW w:type="dxa" w:w="1020"/>
            <w:vAlign w:val="top"/>
          </w:tcPr>
          <w:p>
            <w:r>
              <w:rPr>
                <w:rFonts w:ascii="Arial" w:hAnsi="Arial"/>
                <w:b w:val="0"/>
                <w:i w:val="0"/>
                <w:sz w:val="18"/>
              </w:rPr>
              <w:t>[OCC, ACC, CUT]</w:t>
            </w:r>
          </w:p>
        </w:tc>
        <w:tc>
          <w:tcPr>
            <w:tcW w:type="dxa" w:w="1701"/>
            <w:vAlign w:val="top"/>
          </w:tcPr>
          <w:p>
            <w:r>
              <w:rPr>
                <w:rFonts w:ascii="Arial" w:hAnsi="Arial"/>
                <w:b w:val="0"/>
                <w:i w:val="0"/>
                <w:sz w:val="18"/>
              </w:rPr>
              <w:t>Risk that interest income is recognised on NPA accounts in violation of IRAC non-accrual norms, or that interest income on standard assets is miscalculated, leading to overstatement of income.</w:t>
            </w:r>
          </w:p>
        </w:tc>
        <w:tc>
          <w:tcPr>
            <w:tcW w:type="dxa" w:w="1247"/>
            <w:vAlign w:val="top"/>
          </w:tcPr>
          <w:p>
            <w:r>
              <w:rPr>
                <w:rFonts w:ascii="Arial" w:hAnsi="Arial"/>
                <w:b w:val="0"/>
                <w:i w:val="0"/>
                <w:sz w:val="18"/>
              </w:rPr>
              <w:t>High (Non-accrual of NPA interest income is a high-risk area specifically identified in ICAI GN on Audit of Banks 2025 Chapter 7; management bias towards income recognition is common).</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For a sample of 30 accounts (15 NPAs, 15 standard accounts across product types — CC, TL, OD, Home Loan, Agricultural): (a) For NPAs: confirm no interest is accrued in the income ledger; if accrued, inspect reversal entries and confirm reversal is to the interest suspense account; (b) For standard accounts: recompute interest for the year using the contracted rate × outstanding balance × days/365; agree to the CBS interest income posting; (c) For floating-rate loans: confirm rate resets are correctly incorporated in CBS as per MCLR/EBLR reset dates; (d) Confirm total interest income per Schedule 13 (Interest Earned) agrees to CBS income ledger. Expected outcome: NPA interest fully reversed to suspense; standard account interest agrees within rounding. Exception protocol: Any NPA interest in P&amp;L — propose reversal; quantify as qualification matter if material. Assertion: [OCC, ACC, CUT]. Reference: SA 240, Para 32; SA 330, Para 18–25; SA 540, Para 8.</w:t>
            </w:r>
          </w:p>
        </w:tc>
        <w:tc>
          <w:tcPr>
            <w:tcW w:type="dxa" w:w="1417"/>
            <w:vAlign w:val="top"/>
          </w:tcPr>
          <w:p>
            <w:r>
              <w:rPr>
                <w:rFonts w:ascii="Arial" w:hAnsi="Arial"/>
                <w:b w:val="0"/>
                <w:i w:val="0"/>
                <w:sz w:val="18"/>
              </w:rPr>
              <w:t>SA 240, Para 32; SA 330, Para 18–25; SA 540, Para 8</w:t>
            </w:r>
          </w:p>
        </w:tc>
        <w:tc>
          <w:tcPr>
            <w:tcW w:type="dxa" w:w="1417"/>
            <w:vAlign w:val="top"/>
          </w:tcPr>
          <w:p>
            <w:r>
              <w:rPr>
                <w:rFonts w:ascii="Arial" w:hAnsi="Arial"/>
                <w:b w:val="0"/>
                <w:i w:val="0"/>
                <w:sz w:val="18"/>
              </w:rPr>
              <w:t>AS 9, Para 10–14 (Revenue Recognition); ICAI GN on Audit of Banks 2025 Chapter 7</w:t>
            </w:r>
          </w:p>
        </w:tc>
        <w:tc>
          <w:tcPr>
            <w:tcW w:type="dxa" w:w="1417"/>
            <w:vAlign w:val="top"/>
          </w:tcPr>
          <w:p>
            <w:r>
              <w:rPr>
                <w:rFonts w:ascii="Arial" w:hAnsi="Arial"/>
                <w:b w:val="0"/>
                <w:i w:val="0"/>
                <w:sz w:val="18"/>
              </w:rPr>
              <w:t>ICAI Ch. 3 — 3.2 — Interest Income; Ch. 4 — 4.2 — Laws and Regulations</w:t>
            </w:r>
          </w:p>
        </w:tc>
        <w:tc>
          <w:tcPr>
            <w:tcW w:type="dxa" w:w="1417"/>
            <w:vAlign w:val="top"/>
          </w:tcPr>
          <w:p>
            <w:r>
              <w:rPr>
                <w:rFonts w:ascii="Arial" w:hAnsi="Arial"/>
                <w:b w:val="0"/>
                <w:i w:val="0"/>
                <w:sz w:val="18"/>
              </w:rPr>
              <w:t>[Tool: T-01 Data Sense Pro (datasense.varma.ai) — Recompute interest for sampled accounts; variance vs CBS income postings]</w:t>
            </w:r>
          </w:p>
        </w:tc>
        <w:tc>
          <w:tcPr>
            <w:tcW w:type="dxa" w:w="850"/>
            <w:vAlign w:val="top"/>
          </w:tcPr>
          <w:p>
            <w:r>
              <w:rPr>
                <w:rFonts w:ascii="Arial" w:hAnsi="Arial"/>
                <w:b w:val="0"/>
                <w:i w:val="0"/>
                <w:sz w:val="18"/>
              </w:rPr>
              <w:t>WP-INC-01</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INC-002</w:t>
            </w:r>
          </w:p>
        </w:tc>
        <w:tc>
          <w:tcPr>
            <w:tcW w:type="dxa" w:w="1417"/>
            <w:vAlign w:val="top"/>
          </w:tcPr>
          <w:p>
            <w:r>
              <w:rPr>
                <w:rFonts w:ascii="Arial" w:hAnsi="Arial"/>
                <w:b w:val="0"/>
                <w:i w:val="0"/>
                <w:sz w:val="18"/>
              </w:rPr>
              <w:t>Income — Fee Income, Processing Charges &amp; Commission Verification</w:t>
            </w:r>
          </w:p>
        </w:tc>
        <w:tc>
          <w:tcPr>
            <w:tcW w:type="dxa" w:w="1020"/>
            <w:vAlign w:val="top"/>
          </w:tcPr>
          <w:p>
            <w:r>
              <w:rPr>
                <w:rFonts w:ascii="Arial" w:hAnsi="Arial"/>
                <w:b w:val="0"/>
                <w:i w:val="0"/>
                <w:sz w:val="18"/>
              </w:rPr>
              <w:t>[OCC, ACC, CUT]</w:t>
            </w:r>
          </w:p>
        </w:tc>
        <w:tc>
          <w:tcPr>
            <w:tcW w:type="dxa" w:w="1701"/>
            <w:vAlign w:val="top"/>
          </w:tcPr>
          <w:p>
            <w:r>
              <w:rPr>
                <w:rFonts w:ascii="Arial" w:hAnsi="Arial"/>
                <w:b w:val="0"/>
                <w:i w:val="0"/>
                <w:sz w:val="18"/>
              </w:rPr>
              <w:t>Risk that fee income (processing fees, forex commission, trade finance income, bancassurance commission) is recognised prematurely (before service is fully performed) or that income is netted against expenses instead of being reported gross, understating income.</w:t>
            </w:r>
          </w:p>
        </w:tc>
        <w:tc>
          <w:tcPr>
            <w:tcW w:type="dxa" w:w="1247"/>
            <w:vAlign w:val="top"/>
          </w:tcPr>
          <w:p>
            <w:r>
              <w:rPr>
                <w:rFonts w:ascii="Arial" w:hAnsi="Arial"/>
                <w:b w:val="0"/>
                <w:i w:val="0"/>
                <w:sz w:val="18"/>
              </w:rPr>
              <w:t>Medium (Fee income recognition timing is a known risk under AS 9; bancassurance and cross-sell income is increasingly material for banks — ICAI GN on Audit of Banks 2025 Chapter 7).</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Schedule 14 (Other Income) breakdown by fee category (processing fees, forex, BG/LC commission, bancassurance, NACH/NACH mandate fees, others). (a) For processing fees (upfront): confirm total processing fee collections from the CBS loan origination module; agree to Schedule 14; verify that fees collected are recognised on disbursement date (not application date); (b) For BG/LC commission: obtain the commission accrual register; for a sample of 10 BGs/LCs, verify commission is accrued over the tenor (not front-loaded); (c) For bancassurance income: obtain the income share statement from the insurance partner; agree to bank's books; verify gross recognition (not net of payouts to branches); (d) Scan for income items netted against expenses in non-income GL codes. Expected outcome: All fee categories correctly timed; no netting; income agrees to Schedule 14. Exception protocol: Front-loaded commission — propose deferral; netting found — propose reclassification. Assertion: [OCC, ACC, CUT]. Reference: SA 330, Para 18–25; SA 520, Para 5.</w:t>
            </w:r>
          </w:p>
        </w:tc>
        <w:tc>
          <w:tcPr>
            <w:tcW w:type="dxa" w:w="1417"/>
            <w:vAlign w:val="top"/>
          </w:tcPr>
          <w:p>
            <w:r>
              <w:rPr>
                <w:rFonts w:ascii="Arial" w:hAnsi="Arial"/>
                <w:b w:val="0"/>
                <w:i w:val="0"/>
                <w:sz w:val="18"/>
              </w:rPr>
              <w:t>SA 330, Para 18–25; SA 520, Para 5; SA 250, Para 14</w:t>
            </w:r>
          </w:p>
        </w:tc>
        <w:tc>
          <w:tcPr>
            <w:tcW w:type="dxa" w:w="1417"/>
            <w:vAlign w:val="top"/>
          </w:tcPr>
          <w:p>
            <w:r>
              <w:rPr>
                <w:rFonts w:ascii="Arial" w:hAnsi="Arial"/>
                <w:b w:val="0"/>
                <w:i w:val="0"/>
                <w:sz w:val="18"/>
              </w:rPr>
              <w:t>AS 9, Para 4–9 (Revenue Recognition); ICAI GN on Audit of Banks 2025 Chapter 7</w:t>
            </w:r>
          </w:p>
        </w:tc>
        <w:tc>
          <w:tcPr>
            <w:tcW w:type="dxa" w:w="1417"/>
            <w:vAlign w:val="top"/>
          </w:tcPr>
          <w:p>
            <w:r>
              <w:rPr>
                <w:rFonts w:ascii="Arial" w:hAnsi="Arial"/>
                <w:b w:val="0"/>
                <w:i w:val="0"/>
                <w:sz w:val="18"/>
              </w:rPr>
              <w:t>ICAI Ch. 3 — 3.3 — Other Income</w:t>
            </w:r>
          </w:p>
        </w:tc>
        <w:tc>
          <w:tcPr>
            <w:tcW w:type="dxa" w:w="1417"/>
            <w:vAlign w:val="top"/>
          </w:tcPr>
          <w:p>
            <w:r>
              <w:rPr>
                <w:rFonts w:ascii="Arial" w:hAnsi="Arial"/>
                <w:b w:val="0"/>
                <w:i w:val="0"/>
                <w:sz w:val="18"/>
              </w:rPr>
              <w:t>[Tool: T-02 Sales Register Analysis (sales.varma.ai) — Fee income by product category; trend vs prior year]</w:t>
            </w:r>
          </w:p>
        </w:tc>
        <w:tc>
          <w:tcPr>
            <w:tcW w:type="dxa" w:w="850"/>
            <w:vAlign w:val="top"/>
          </w:tcPr>
          <w:p>
            <w:r>
              <w:rPr>
                <w:rFonts w:ascii="Arial" w:hAnsi="Arial"/>
                <w:b w:val="0"/>
                <w:i w:val="0"/>
                <w:sz w:val="18"/>
              </w:rPr>
              <w:t>WP-INC-02</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INC-003</w:t>
            </w:r>
          </w:p>
        </w:tc>
        <w:tc>
          <w:tcPr>
            <w:tcW w:type="dxa" w:w="1417"/>
            <w:vAlign w:val="top"/>
          </w:tcPr>
          <w:p>
            <w:r>
              <w:rPr>
                <w:rFonts w:ascii="Arial" w:hAnsi="Arial"/>
                <w:b w:val="0"/>
                <w:i w:val="0"/>
                <w:sz w:val="18"/>
              </w:rPr>
              <w:t>Income — Treasury Income (Profit / Loss on Sale of Investments)</w:t>
            </w:r>
          </w:p>
        </w:tc>
        <w:tc>
          <w:tcPr>
            <w:tcW w:type="dxa" w:w="1020"/>
            <w:vAlign w:val="top"/>
          </w:tcPr>
          <w:p>
            <w:r>
              <w:rPr>
                <w:rFonts w:ascii="Arial" w:hAnsi="Arial"/>
                <w:b w:val="0"/>
                <w:i w:val="0"/>
                <w:sz w:val="18"/>
              </w:rPr>
              <w:t>[OCC, ACC, VAL]</w:t>
            </w:r>
          </w:p>
        </w:tc>
        <w:tc>
          <w:tcPr>
            <w:tcW w:type="dxa" w:w="1701"/>
            <w:vAlign w:val="top"/>
          </w:tcPr>
          <w:p>
            <w:r>
              <w:rPr>
                <w:rFonts w:ascii="Arial" w:hAnsi="Arial"/>
                <w:b w:val="0"/>
                <w:i w:val="0"/>
                <w:sz w:val="18"/>
              </w:rPr>
              <w:t>Risk that profit or loss on sale of HTM, AFS, or HFT investments is incorrectly computed (wrong book value / average cost used), or that gains are recorded in current year but relate to trades settled in the next year, leading to misstatement of treasury income.</w:t>
            </w:r>
          </w:p>
        </w:tc>
        <w:tc>
          <w:tcPr>
            <w:tcW w:type="dxa" w:w="1247"/>
            <w:vAlign w:val="top"/>
          </w:tcPr>
          <w:p>
            <w:r>
              <w:rPr>
                <w:rFonts w:ascii="Arial" w:hAnsi="Arial"/>
                <w:b w:val="0"/>
                <w:i w:val="0"/>
                <w:sz w:val="18"/>
              </w:rPr>
              <w:t>High (Investment sale gains/losses involve complex computation and are susceptible to management estimation bias; HTM gains are restricted by RBI — ICAI GN on Audit of Banks 2025 Chapter 8).</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the investment sale transaction register for the year (all scrip-wise buy/sell transactions). (a) For a sample of 15 sale transactions (covering G-Secs, SDLs, bonds, equities, across HTM/AFS/HFT): recompute profit/loss = sale proceeds − book value (weighted average acquisition cost per scrip); agree recomputed P&amp;L to the bank's treasury P&amp;L schedule; (b) For HTM portfolio sales: confirm sale is within RBI-permitted exceptions (maturity within 90 days, sale under RBI special dispensation); confirm excess profit over book value transferred to Capital Reserve (not retained in P&amp;L); (c) Apply cut-off test: obtain trades executed in last week of March and first week of April; confirm trade date vs settlement date accounting is consistent with bank policy and RBI guidance; (d) Agree total treasury income to P&amp;L Schedule 14 (Profit on Sale of Investments) and P&amp;L Schedule 16 (Loss on Sale of Investments). Expected outcome: P&amp;L per recomputation agrees within tolerance; HTM gains transferred to Capital Reserve; cut-off correct. Exception protocol: Any excess HTM profit not in Capital Reserve — propose correction. Assertion: [OCC, ACC, VAL]. Reference: SA 540, Para 8–15; SA 560, Para 6.</w:t>
            </w:r>
          </w:p>
        </w:tc>
        <w:tc>
          <w:tcPr>
            <w:tcW w:type="dxa" w:w="1417"/>
            <w:vAlign w:val="top"/>
          </w:tcPr>
          <w:p>
            <w:r>
              <w:rPr>
                <w:rFonts w:ascii="Arial" w:hAnsi="Arial"/>
                <w:b w:val="0"/>
                <w:i w:val="0"/>
                <w:sz w:val="18"/>
              </w:rPr>
              <w:t>SA 540, Para 8–15; SA 560, Para 6; SA 520, Para 5</w:t>
            </w:r>
          </w:p>
        </w:tc>
        <w:tc>
          <w:tcPr>
            <w:tcW w:type="dxa" w:w="1417"/>
            <w:vAlign w:val="top"/>
          </w:tcPr>
          <w:p>
            <w:r>
              <w:rPr>
                <w:rFonts w:ascii="Arial" w:hAnsi="Arial"/>
                <w:b w:val="0"/>
                <w:i w:val="0"/>
                <w:sz w:val="18"/>
              </w:rPr>
              <w:t>AS 13, Para 31 (Investments); ICAI GN on Audit of Banks 2025 Chapter 8</w:t>
            </w:r>
          </w:p>
        </w:tc>
        <w:tc>
          <w:tcPr>
            <w:tcW w:type="dxa" w:w="1417"/>
            <w:vAlign w:val="top"/>
          </w:tcPr>
          <w:p>
            <w:r>
              <w:rPr>
                <w:rFonts w:ascii="Arial" w:hAnsi="Arial"/>
                <w:b w:val="0"/>
                <w:i w:val="0"/>
                <w:sz w:val="18"/>
              </w:rPr>
              <w:t>ICAI Ch. 3 — 3.14 — Profit on Sale of Investments</w:t>
            </w:r>
          </w:p>
        </w:tc>
        <w:tc>
          <w:tcPr>
            <w:tcW w:type="dxa" w:w="1417"/>
            <w:vAlign w:val="top"/>
          </w:tcPr>
          <w:p>
            <w:r>
              <w:rPr>
                <w:rFonts w:ascii="Arial" w:hAnsi="Arial"/>
                <w:b w:val="0"/>
                <w:i w:val="0"/>
                <w:sz w:val="18"/>
              </w:rPr>
              <w:t>[Tool: T-01 Data Sense Pro (datasense.varma.ai) — Recompute treasury P&amp;L for sampled scrips; cut-off analysis last 7 days of March]</w:t>
            </w:r>
          </w:p>
        </w:tc>
        <w:tc>
          <w:tcPr>
            <w:tcW w:type="dxa" w:w="850"/>
            <w:vAlign w:val="top"/>
          </w:tcPr>
          <w:p>
            <w:r>
              <w:rPr>
                <w:rFonts w:ascii="Arial" w:hAnsi="Arial"/>
                <w:b w:val="0"/>
                <w:i w:val="0"/>
                <w:sz w:val="18"/>
              </w:rPr>
              <w:t>WP-INC-03</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INC-004</w:t>
            </w:r>
          </w:p>
        </w:tc>
        <w:tc>
          <w:tcPr>
            <w:tcW w:type="dxa" w:w="1417"/>
            <w:vAlign w:val="top"/>
          </w:tcPr>
          <w:p>
            <w:r>
              <w:rPr>
                <w:rFonts w:ascii="Arial" w:hAnsi="Arial"/>
                <w:b w:val="0"/>
                <w:i w:val="0"/>
                <w:sz w:val="18"/>
              </w:rPr>
              <w:t>Income — Inter-Branch / HO Account Reconciliation (Unmatched Entries)</w:t>
            </w:r>
          </w:p>
        </w:tc>
        <w:tc>
          <w:tcPr>
            <w:tcW w:type="dxa" w:w="1020"/>
            <w:vAlign w:val="top"/>
          </w:tcPr>
          <w:p>
            <w:r>
              <w:rPr>
                <w:rFonts w:ascii="Arial" w:hAnsi="Arial"/>
                <w:b w:val="0"/>
                <w:i w:val="0"/>
                <w:sz w:val="18"/>
              </w:rPr>
              <w:t>[EXI, COM, ACC]</w:t>
            </w:r>
          </w:p>
        </w:tc>
        <w:tc>
          <w:tcPr>
            <w:tcW w:type="dxa" w:w="1701"/>
            <w:vAlign w:val="top"/>
          </w:tcPr>
          <w:p>
            <w:r>
              <w:rPr>
                <w:rFonts w:ascii="Arial" w:hAnsi="Arial"/>
                <w:b w:val="0"/>
                <w:i w:val="0"/>
                <w:sz w:val="18"/>
              </w:rPr>
              <w:t>Risk that inter-branch (IBA) and Head Office (HO) account entries remain unmatched at year end, leading to unrecognised income, unexplained liabilities, or misstatement of balances that affect the financial statements.</w:t>
            </w:r>
          </w:p>
        </w:tc>
        <w:tc>
          <w:tcPr>
            <w:tcW w:type="dxa" w:w="1247"/>
            <w:vAlign w:val="top"/>
          </w:tcPr>
          <w:p>
            <w:r>
              <w:rPr>
                <w:rFonts w:ascii="Arial" w:hAnsi="Arial"/>
                <w:b w:val="0"/>
                <w:i w:val="0"/>
                <w:sz w:val="18"/>
              </w:rPr>
              <w:t>High (Unmatched inter-branch entries are a perennial risk in large branch networks and specifically called out in LFAR and ICAI GN on Audit of Banks 2025 Chapter 6; old unmatched entries may conceal fraud — SA 240 risk).</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the IBA / HO account reconciliation statement as at year end from CBS. (a) Identify all unmatched debit and credit entries as at 31 March; classify by age: less than 30 days, 30–90 days, more than 90 days; (b) For all entries outstanding more than 90 days: obtain individual entry details (amount, originating branch, date, narration); inspect subsequent clearance in April; (c) For unmatched credit entries (potential income): verify whether they represent genuine inter-branch fund transfers or whether any should be recognised as income in the current year; (d) For unmatched debit entries (potential asset): confirm the originating branch has a corresponding liability; (e) Assess the total exposure from entries more than 90 days unmatched against performance materiality; report in LFAR if above threshold. Expected outcome: All entries less than 30 days cleared post year-end; entries more than 90 days are explained and documented. Exception protocol: Unexplained entries more than 90 days — escalate as potential fraud risk per SA 240; quantify misstatement. Assertion: [EXI, COM, ACC]. Reference: SA 240, Para 32–33; SA 500, Para 7.</w:t>
            </w:r>
          </w:p>
        </w:tc>
        <w:tc>
          <w:tcPr>
            <w:tcW w:type="dxa" w:w="1417"/>
            <w:vAlign w:val="top"/>
          </w:tcPr>
          <w:p>
            <w:r>
              <w:rPr>
                <w:rFonts w:ascii="Arial" w:hAnsi="Arial"/>
                <w:b w:val="0"/>
                <w:i w:val="0"/>
                <w:sz w:val="18"/>
              </w:rPr>
              <w:t>SA 240, Para 32–33; SA 500, Para 7; SA 560, Para 6</w:t>
            </w:r>
          </w:p>
        </w:tc>
        <w:tc>
          <w:tcPr>
            <w:tcW w:type="dxa" w:w="1417"/>
            <w:vAlign w:val="top"/>
          </w:tcPr>
          <w:p>
            <w:r>
              <w:rPr>
                <w:rFonts w:ascii="Arial" w:hAnsi="Arial"/>
                <w:b w:val="0"/>
                <w:i w:val="0"/>
                <w:sz w:val="18"/>
              </w:rPr>
              <w:t>AS 5, Para 6; ICAI GN on Audit of Banks 2025 Chapter 6</w:t>
            </w:r>
          </w:p>
        </w:tc>
        <w:tc>
          <w:tcPr>
            <w:tcW w:type="dxa" w:w="1417"/>
            <w:vAlign w:val="top"/>
          </w:tcPr>
          <w:p>
            <w:r>
              <w:rPr>
                <w:rFonts w:ascii="Arial" w:hAnsi="Arial"/>
                <w:b w:val="0"/>
                <w:i w:val="0"/>
                <w:sz w:val="18"/>
              </w:rPr>
              <w:t>ICAI Ch. 3 — 3.11 — Inter-Branch Reconciliation</w:t>
            </w:r>
          </w:p>
        </w:tc>
        <w:tc>
          <w:tcPr>
            <w:tcW w:type="dxa" w:w="1417"/>
            <w:vAlign w:val="top"/>
          </w:tcPr>
          <w:p>
            <w:r>
              <w:rPr>
                <w:rFonts w:ascii="Arial" w:hAnsi="Arial"/>
                <w:b w:val="0"/>
                <w:i w:val="0"/>
                <w:sz w:val="18"/>
              </w:rPr>
              <w:t>[Tool: T-01 Data Sense Pro (datasense.varma.ai) — Age analysis of unmatched IBA entries; identify entries &gt; 90 days by amount and branch]</w:t>
            </w:r>
          </w:p>
        </w:tc>
        <w:tc>
          <w:tcPr>
            <w:tcW w:type="dxa" w:w="850"/>
            <w:vAlign w:val="top"/>
          </w:tcPr>
          <w:p>
            <w:r>
              <w:rPr>
                <w:rFonts w:ascii="Arial" w:hAnsi="Arial"/>
                <w:b w:val="0"/>
                <w:i w:val="0"/>
                <w:sz w:val="18"/>
              </w:rPr>
              <w:t>WP-INC-04</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INC-005</w:t>
            </w:r>
          </w:p>
        </w:tc>
        <w:tc>
          <w:tcPr>
            <w:tcW w:type="dxa" w:w="1417"/>
            <w:vAlign w:val="top"/>
          </w:tcPr>
          <w:p>
            <w:r>
              <w:rPr>
                <w:rFonts w:ascii="Arial" w:hAnsi="Arial"/>
                <w:b w:val="0"/>
                <w:i w:val="0"/>
                <w:sz w:val="18"/>
              </w:rPr>
              <w:t>Income — LFAR (Income Recognition Section) — Revised 2025 Format</w:t>
            </w:r>
          </w:p>
        </w:tc>
        <w:tc>
          <w:tcPr>
            <w:tcW w:type="dxa" w:w="1020"/>
            <w:vAlign w:val="top"/>
          </w:tcPr>
          <w:p>
            <w:r>
              <w:rPr>
                <w:rFonts w:ascii="Arial" w:hAnsi="Arial"/>
                <w:b w:val="0"/>
                <w:i w:val="0"/>
                <w:sz w:val="18"/>
              </w:rPr>
              <w:t>[COM, CLS, ACC]</w:t>
            </w:r>
          </w:p>
        </w:tc>
        <w:tc>
          <w:tcPr>
            <w:tcW w:type="dxa" w:w="1701"/>
            <w:vAlign w:val="top"/>
          </w:tcPr>
          <w:p>
            <w:r>
              <w:rPr>
                <w:rFonts w:ascii="Arial" w:hAnsi="Arial"/>
                <w:b w:val="0"/>
                <w:i w:val="0"/>
                <w:sz w:val="18"/>
              </w:rPr>
              <w:t>Risk that the LFAR Income Recognition section contains responses inconsistent with workpaper findings, omits required disclosures, or uses outdated format not aligned with RBI LFAR Revised 2025.</w:t>
            </w:r>
          </w:p>
        </w:tc>
        <w:tc>
          <w:tcPr>
            <w:tcW w:type="dxa" w:w="1247"/>
            <w:vAlign w:val="top"/>
          </w:tcPr>
          <w:p>
            <w:r>
              <w:rPr>
                <w:rFonts w:ascii="Arial" w:hAnsi="Arial"/>
                <w:b w:val="0"/>
                <w:i w:val="0"/>
                <w:sz w:val="18"/>
              </w:rPr>
              <w:t>Medium (Disclosure consistency risk; LFAR is a key regulatory deliverable — RBI revised the LFAR format in 2021/2025; inconsistency between workpapers and LFAR is a quality risk).</w:t>
            </w:r>
          </w:p>
        </w:tc>
        <w:tc>
          <w:tcPr>
            <w:tcW w:type="dxa" w:w="1020"/>
            <w:vAlign w:val="top"/>
          </w:tcPr>
          <w:p>
            <w:r>
              <w:rPr>
                <w:rFonts w:ascii="Arial" w:hAnsi="Arial"/>
                <w:b w:val="0"/>
                <w:i w:val="0"/>
                <w:sz w:val="18"/>
              </w:rPr>
              <w:t>Disclosure</w:t>
            </w:r>
          </w:p>
        </w:tc>
        <w:tc>
          <w:tcPr>
            <w:tcW w:type="dxa" w:w="3288"/>
            <w:vAlign w:val="top"/>
          </w:tcPr>
          <w:p>
            <w:r>
              <w:rPr>
                <w:rFonts w:ascii="Arial" w:hAnsi="Arial"/>
                <w:b w:val="0"/>
                <w:i w:val="0"/>
                <w:sz w:val="18"/>
              </w:rPr>
              <w:t>Obtain the draft LFAR (Income Recognition section — typically Part B, Para 3 and 4 of LFAR format). (a) Cross-reference each LFAR response to the corresponding workpaper: LFAR Para 3(a) — interest income non-accrual to WP-INC-01; LFAR Para 3(b) — fee income timing to WP-INC-02; LFAR Para 3(c) — treasury income to WP-INC-03; LFAR Para 4 — inter-branch reconciliation to WP-INC-04; (b) Confirm all observations/qualifications in workpapers are reflected in LFAR responses; (c) Confirm LFAR is in the revised format per RBI Master Circular on LFAR (latest edition); (d) Agree amounts in LFAR to corresponding schedules in draft financial statements. Expected outcome: LFAR responses consistent with workpapers; no workpaper finding omitted from LFAR; format compliant with RBI. Exception protocol: Inconsistency between LFAR and workpapers — revise LFAR before submission. Assertion: [COM, CLS, ACC]. Reference: SA 700, Para 10–15; SA 260, Para 12.</w:t>
            </w:r>
          </w:p>
        </w:tc>
        <w:tc>
          <w:tcPr>
            <w:tcW w:type="dxa" w:w="1417"/>
            <w:vAlign w:val="top"/>
          </w:tcPr>
          <w:p>
            <w:r>
              <w:rPr>
                <w:rFonts w:ascii="Arial" w:hAnsi="Arial"/>
                <w:b w:val="0"/>
                <w:i w:val="0"/>
                <w:sz w:val="18"/>
              </w:rPr>
              <w:t>SA 700, Para 10–15; SA 260, Para 12; SA 580, Para 10</w:t>
            </w:r>
          </w:p>
        </w:tc>
        <w:tc>
          <w:tcPr>
            <w:tcW w:type="dxa" w:w="1417"/>
            <w:vAlign w:val="top"/>
          </w:tcPr>
          <w:p>
            <w:r>
              <w:rPr>
                <w:rFonts w:ascii="Arial" w:hAnsi="Arial"/>
                <w:b w:val="0"/>
                <w:i w:val="0"/>
                <w:sz w:val="18"/>
              </w:rPr>
              <w:t>ICAI GN on Audit of Banks 2025 Chapter 12 — LFAR; RBI Master Circular on Long Form Audit Report</w:t>
            </w:r>
          </w:p>
        </w:tc>
        <w:tc>
          <w:tcPr>
            <w:tcW w:type="dxa" w:w="1417"/>
            <w:vAlign w:val="top"/>
          </w:tcPr>
          <w:p>
            <w:r>
              <w:rPr>
                <w:rFonts w:ascii="Arial" w:hAnsi="Arial"/>
                <w:b w:val="0"/>
                <w:i w:val="0"/>
                <w:sz w:val="18"/>
              </w:rPr>
              <w:t>ICAI Ch. 6 — 6.1 — Audit Report; Ch. 5 — 5.3 — Schedule III Checklist</w:t>
            </w:r>
          </w:p>
        </w:tc>
        <w:tc>
          <w:tcPr>
            <w:tcW w:type="dxa" w:w="1417"/>
            <w:vAlign w:val="top"/>
          </w:tcPr>
          <w:p>
            <w:r>
              <w:rPr>
                <w:rFonts w:ascii="Arial" w:hAnsi="Arial"/>
                <w:b w:val="0"/>
                <w:i w:val="0"/>
                <w:sz w:val="18"/>
              </w:rPr>
              <w:t>Manual review procedure</w:t>
            </w:r>
          </w:p>
        </w:tc>
        <w:tc>
          <w:tcPr>
            <w:tcW w:type="dxa" w:w="850"/>
            <w:vAlign w:val="top"/>
          </w:tcPr>
          <w:p>
            <w:r>
              <w:rPr>
                <w:rFonts w:ascii="Arial" w:hAnsi="Arial"/>
                <w:b w:val="0"/>
                <w:i w:val="0"/>
                <w:sz w:val="18"/>
              </w:rPr>
              <w:t>WP-INC-05</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bl>
    <w:sectPr w:rsidR="00FC693F" w:rsidRPr="0006063C" w:rsidSect="00034616">
      <w:headerReference w:type="default" r:id="rId9"/>
      <w:footerReference w:type="default" r:id="rId10"/>
      <w:pgSz w:w="16838" w:h="11906"/>
      <w:pgMar w:top="1134"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5102"/>
      <w:gridCol w:w="5102"/>
    </w:tblGrid>
    <w:tr>
      <w:tc>
        <w:tcPr>
          <w:tcW w:type="dxa" w:w="5102"/>
          <w:tcBorders>
            <w:top w:val="none"/>
            <w:left w:val="none"/>
            <w:bottom w:val="none"/>
            <w:right w:val="none"/>
          </w:tcBorders>
        </w:tcPr>
        <w:p>
          <w:r>
            <w:rPr>
              <w:rFonts w:ascii="Kunstler Script" w:hAnsi="Kunstler Script"/>
              <w:b/>
              <w:sz w:val="22"/>
            </w:rPr>
            <w:t>Varma &amp; Varma</w:t>
          </w:r>
        </w:p>
      </w:tc>
      <w:tc>
        <w:tcPr>
          <w:tcW w:type="dxa" w:w="5102"/>
          <w:tcBorders>
            <w:top w:val="none"/>
            <w:left w:val="none"/>
            <w:bottom w:val="none"/>
            <w:right w:val="none"/>
          </w:tcBorders>
        </w:tcPr>
        <w:p>
          <w:pPr>
            <w:jc w:val="right"/>
          </w:pPr>
          <w:r>
            <w:rPr>
              <w:rFonts w:ascii="Arial" w:hAnsi="Arial"/>
              <w:sz w:val="18"/>
            </w:rPr>
            <w:fldChar w:fldCharType="begin"/>
            <w:instrText>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102"/>
      <w:gridCol w:w="5102"/>
    </w:tblGrid>
    <w:tr>
      <w:tc>
        <w:tcPr>
          <w:tcW w:type="dxa" w:w="5102"/>
          <w:tcBorders>
            <w:top w:val="none"/>
            <w:left w:val="none"/>
            <w:bottom w:val="none"/>
            <w:right w:val="none"/>
          </w:tcBorders>
        </w:tcPr>
        <w:p>
          <w:r>
            <w:rPr>
              <w:rFonts w:ascii="Arial" w:hAnsi="Arial"/>
              <w:b w:val="0"/>
              <w:i w:val="0"/>
              <w:sz w:val="18"/>
            </w:rPr>
            <w:t>[Client Name]</w:t>
          </w:r>
        </w:p>
      </w:tc>
      <w:tc>
        <w:tcPr>
          <w:tcW w:type="dxa" w:w="5102"/>
          <w:tcBorders>
            <w:top w:val="none"/>
            <w:left w:val="none"/>
            <w:bottom w:val="none"/>
            <w:right w:val="none"/>
          </w:tcBorders>
        </w:tcPr>
        <w:p>
          <w:pPr>
            <w:jc w:val="right"/>
          </w:pPr>
          <w:r>
            <w:rPr>
              <w:rFonts w:ascii="Arial" w:hAnsi="Arial"/>
              <w:b w:val="0"/>
              <w:i w:val="0"/>
              <w:sz w:val="18"/>
            </w:rPr>
            <w:t>Statutory Audit for the year ended [DD.MM.YYYY]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81F3D7F-EFCE-424C-9D19-0C3C2CB22FCF}"/>
</file>

<file path=customXml/itemProps3.xml><?xml version="1.0" encoding="utf-8"?>
<ds:datastoreItem xmlns:ds="http://schemas.openxmlformats.org/officeDocument/2006/customXml" ds:itemID="{39D3DFFD-1CB3-428F-A718-601AAF050A60}"/>
</file>

<file path=customXml/itemProps4.xml><?xml version="1.0" encoding="utf-8"?>
<ds:datastoreItem xmlns:ds="http://schemas.openxmlformats.org/officeDocument/2006/customXml" ds:itemID="{B63F86B3-E9C6-4BCD-B32D-4AECDC8EBF7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