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INVESTMENTS (HTM / AFS / HFT PORTFOLIO — BANKING COMPANIES)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BK.INV.00  |  Framework: AS  |  Governing: ICAI GN on Audit of Banks (2025 Edition); RBI Master Directions; Banking Regulation Act 1949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Ch. 3 — 3.6 — Investments | Adapted per ICAI GN on Audit of Banks (2025 Edition), Chapter 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Reference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D5E8F0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Lead Schedule &amp; GL Reconciliation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COM, VAL]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the investments lead schedule does not reconcile to the GL, categories (HTM/AFS/HFT) are not totalled separately, or opening balances differ from prior-year audit.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 (Routine reconciliation; CBS-GL auto-match for treasury; residual risk from manual adjustments — SA 510 Para 6).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investments lead schedule (HTM/AFS/HFT by scrip) as at year end. Cast all columns and cross-foot. Agree category-wise totals to GL trial balance (investment GL codes). Agree opening balances to prior-year audited closing. Expected outcome: Agrees within ₹0. Exception protocol: Reconcile with Treasury/F&amp;A; do not proceed until resolved. Assertion: [EXI, COM, VAL]. Reference: SA 510, Para 6–9; SA 500, Para 7; AS 5, Para 6.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510, Para 6–9; SA 500, Para 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AS 5, Para 6; AS 13, Para 8 (Investments Classification)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3.6 — Investments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HTM/AFS/HFT Classification &amp; Transfer Policy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[CLS, ACC, OCC]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securities are incorrectly classified between HTM, AFS, and HFT categories, or that mid-year transfers between categories violate RBI restrictions, leading to incorrect valuation treatment.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 (ICAI GN on Audit of Banks 2025 Chapter 8 identifies investment classification as a high-risk area; HTM misclassification avoids MTM losses — management bias risk per SA 540).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 a sample of 20 securities (across categories, by value): (a) Inspect the classification decision in the Investment Committee minutes at acquisition; (b) Confirm the classification is consistent with the bank's Board-approved Investment Policy; (c) For any mid-year transfers between categories: confirm they were made only in the permitted transfer window (beginning of year or special RBI permission) and approved by the Investment Committee. Expected outcome: All sampled securities correctly classified per policy; no unauthorized mid-year transfers. Exception protocol: Misclassified securities — reclassify; recompute valuation impact. Assertion: [CLS, ACC, OCC]. Reference: SA 330, Para 18–25; SA 540, Para 8–15.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330, Para 18–25; SA 540, Para 8–15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Circular on Investment Portfolio (July 2023 — LOR Framework); ICAI GN on Audit of Banks 2025, Chapter 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3.6 — Investments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MTM Valuation (AFS &amp; HFT Portfolio)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AFS and HFT securities are not marked-to-market at RBI-prescribed intervals (at least quarterly) using RBI/FIMMDA benchmark prices, leading to understated depreciation and overstated investment values.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 (MTM valuation is a complex estimate per SA 540; management bias towards minimizing MTM losses is a known risk — ICAI GN on Audit of Banks 2025 Chapter 8).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MTM valuation schedule for AFS and HFT portfolios as at year end. For a sample of 15 securities (by value — include equities, G-Secs, SDLs, bonds): (a) Obtain the closing price/yield from FIMMDA (for bonds/G-Secs) or BSE/NSE closing prices (for equities) as at 31 March; (b) Recompute the market value using the correct pricing methodology (YTM for bonds, closing price for equities, NAV for MF units); (c) Compare recomputed value to management's MTM schedule; (d) Confirm the bank has booked the net depreciation (not netted with appreciation) in the P&amp;L for AFS per RBI circular. Expected outcome: MTM values agree to FIMMDA/market prices; net depreciation correctly recognized. Exception protocol: Any understatement of depreciation — propose adjustment; report in LFAR. Assertion: [VAL, ACC]. Reference: SA 540, Para 8–15; SA 330, Para 20.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8–15; SA 330, Para 20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Circular on Investment Portfolio — Valuation of Investments (July 2023); ICAI GN on Audit of Banks 2025, Chapter 8; AS 13, Para 31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3.6 — Investments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Recompute MTM values for AFS/HFT portfolio; variance analysis vs management's MTM schedule]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SLR Compliance Verification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[EXI, COM,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the bank's Statutory Liquidity Ratio (SLR) holding in approved securities does not meet the RBI-prescribed minimum, or that non-SLR securities are included in the SLR computation, leading to regulatory non-compliance.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 (SLR compliance is rule-based; risk is primarily in the correct identification of SLR-eligible securities and NDTL computation — ICAI GN on Audit of Banks 2025 Chapter 8).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the SLR computation as at year end. (a) Confirm NDTL (Net Demand and Time Liabilities) figure used agrees to the CBS NDTL report; (b) Recompute minimum SLR requirement (18% of NDTL as at current RBI rate); (c) Verify SLR-eligible securities held: inspect the list of approved securities (Central Govt securities, RBI approved State Govt securities, approved securities per RBI); confirm securities on the list are in the HTM / AFS / HFT portfolio; (d) Agree the SLR return submitted to RBI (Form VIII) to the CBS investment register. Expected outcome: SLR holding meets or exceeds minimum requirement; all included securities are RBI-approved; Form VIII agrees to CBS. Exception protocol: SLR shortfall — immediately report to engagement partner; significant regulatory risk. Assertion: [EXI, COM, ACC]. Reference: SA 330, Para 18–25; SA 250, Para 14.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330, Para 18–25;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Banking Regulation Act 1949, Section 24; RBI Master Circular on SLR; ICAI GN on Audit of Banks 2025, Chapter 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3.6 — Investments; Ch. 4 — 4.2 — Laws and Regulations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Depreciation / Amortisation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depreciation on HTM securities (premium amortisation) or the net depreciation charge on AFS/HFT is incorrectly computed or not recognized in P&amp;L, overstating investment income and understating provisions.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 (Computation is largely mechanical but errors in yield to maturity or acquisition cost can affect amortisation — SA 540 estimate risk is moderate).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For a sample of 10 HTM securities: (a) Recompute the amortisation of acquisition premium/discount over remaining life using the straight-line or effective interest method as per bank policy; (b) Agree the amortisation amount to the P&amp;L charge for the year. For AFS portfolio: Confirm net depreciation (sum of individual security depreciation, not netted against appreciation) is recognized in P&amp;L per RBI Master Circular. For HFT: Confirm entire MTM movement is recognized in P&amp;L. Expected outcome: Amortisation correctly computed; net depreciation recognized per RBI norms. Exception protocol: Any shortfall — propose adjustment. Assertion: [VAL, ACC]. Reference: SA 540, Para 8–15; SA 520, Para 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540, Para 8–15; SA 520, Para 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RBI Master Circular on Investment Portfolio — Depreciation on Investments; AS 13, Para 31; ICAI GN on Audit of Banks 2025, Chapter 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3 — 3.6 — Investments; Ch. 3 — 3.5 — Depreciation and Amortization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[Tool: T-01 Data Sense Pro (datasense.varma.ai) — Recompute HTM amortisation for sample securities; variance vs management schedule]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INV-006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Investments — Disclosure &amp; LFAR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CLS,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Risk that investment disclosures in the financial statements (Schedule 8 — Investments) are incomplete, incorrectly classified by category/issuer type, or inconsistent with the LFAR Investments section.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 (Disclosure completeness — standard risk; Banking Companies Schedule III has specific format — ICAI GN on Audit of Banks 2025 Appendix).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Disclosure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Schedule 8 (Investments) in draft financial statements. (a) Confirm all required sub-classifications present: (i) Government Securities; (ii) Other approved securities; (iii) Shares; (iv) Debentures and Bonds; (v) Subsidiaries/JVs; (vi) Others; (b) Agree each sub-total to the CBS investment register; (c) Confirm HTM/AFS/HFT total disclosed in notes agrees to lead schedule; (d) Agree LFAR Investments section responses to workpaper findings (WP-INV-01 to WP-INV-05). Confirm SLR compliance status in LFAR consistent with WP-INV-04. Expected outcome: Schedule 8 complete; sub-totals agree to CBS; LFAR consistent with workpapers. Exception protocol: Discrepancies to be corrected before LFAR submission. Assertion: [COM, CLS, ACC]. Reference: SA 700, Para 10–15.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700, Para 10–15; SA 260, Para 12–15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Banking Regulation Act 1949, Third Schedule (Form A — Schedule 8); ICAI GN on Audit of Banks 2025, Chapter 12 and Chapter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Ch. 5 — 5.3 — Schedule III Checklist; Ch. 6 — 6.1 — Audit Report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procedure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WP-INV-06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 / 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7317EA-0397-4991-8F2B-3076CA8B228C}"/>
</file>

<file path=customXml/itemProps3.xml><?xml version="1.0" encoding="utf-8"?>
<ds:datastoreItem xmlns:ds="http://schemas.openxmlformats.org/officeDocument/2006/customXml" ds:itemID="{01F7204F-EE07-486F-809D-7570AB6A3AAC}"/>
</file>

<file path=customXml/itemProps4.xml><?xml version="1.0" encoding="utf-8"?>
<ds:datastoreItem xmlns:ds="http://schemas.openxmlformats.org/officeDocument/2006/customXml" ds:itemID="{9BA2AA55-6807-4E31-B025-8FE5104495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