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20"/>
        </w:rPr>
        <w:t>AUDIT PROGRAMME — REGULATORY COMPLIANCE (CRAR, CRR, PSL, KYC/AML, FEMA, FRAUD REPORTING, IT CONTROLS, SCHEDULE III)</w:t>
      </w:r>
    </w:p>
    <w:p>
      <w:pPr>
        <w:jc w:val="center"/>
      </w:pPr>
      <w:r>
        <w:rPr>
          <w:rFonts w:ascii="Arial" w:hAnsi="Arial"/>
          <w:b w:val="0"/>
          <w:i w:val="0"/>
          <w:sz w:val="18"/>
        </w:rPr>
        <w:t>BK.REG.00  |  Framework: AS  |  Governing: ICAI GN on Audit of Banks (2025 Edition); Banking Regulation Act 1949; RBI Master Directions; Basel III Capital Regulations</w:t>
      </w:r>
    </w:p>
    <w:p>
      <w:pPr>
        <w:jc w:val="center"/>
      </w:pPr>
      <w:r>
        <w:rPr>
          <w:rFonts w:ascii="Arial" w:hAnsi="Arial"/>
          <w:b w:val="0"/>
          <w:i/>
          <w:sz w:val="18"/>
        </w:rPr>
        <w:t>ICAI Reference: ICAI Ch. 4 — 4.2 — Laws and Regulations; Ch. 5 — 5.3 — Schedule III Checklist | Adapted per ICAI GN on Audit of Banks (2025 Edition), Chapters 9–13</w:t>
      </w:r>
    </w:p>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gridCol w:w="1081"/>
        <w:gridCol w:w="1081"/>
        <w:gridCol w:w="1081"/>
        <w:gridCol w:w="1081"/>
        <w:gridCol w:w="1081"/>
        <w:gridCol w:w="1081"/>
      </w:tblGrid>
      <w:tr>
        <w:tc>
          <w:tcPr>
            <w:tcW w:type="dxa" w:w="680"/>
            <w:shd w:val="clear" w:color="auto" w:fill="D5E8F0"/>
            <w:vAlign w:val="top"/>
          </w:tcPr>
          <w:p>
            <w:r>
              <w:rPr>
                <w:rFonts w:ascii="Arial" w:hAnsi="Arial"/>
                <w:b/>
                <w:i w:val="0"/>
                <w:sz w:val="18"/>
              </w:rPr>
              <w:t>Sr. No.</w:t>
            </w:r>
          </w:p>
        </w:tc>
        <w:tc>
          <w:tcPr>
            <w:tcW w:type="dxa" w:w="1417"/>
            <w:shd w:val="clear" w:color="auto" w:fill="D5E8F0"/>
            <w:vAlign w:val="top"/>
          </w:tcPr>
          <w:p>
            <w:r>
              <w:rPr>
                <w:rFonts w:ascii="Arial" w:hAnsi="Arial"/>
                <w:b/>
                <w:i w:val="0"/>
                <w:sz w:val="18"/>
              </w:rPr>
              <w:t>Audit Area</w:t>
            </w:r>
          </w:p>
        </w:tc>
        <w:tc>
          <w:tcPr>
            <w:tcW w:type="dxa" w:w="1020"/>
            <w:shd w:val="clear" w:color="auto" w:fill="D5E8F0"/>
            <w:vAlign w:val="top"/>
          </w:tcPr>
          <w:p>
            <w:r>
              <w:rPr>
                <w:rFonts w:ascii="Arial" w:hAnsi="Arial"/>
                <w:b/>
                <w:i w:val="0"/>
                <w:sz w:val="18"/>
              </w:rPr>
              <w:t>Assertions</w:t>
            </w:r>
          </w:p>
        </w:tc>
        <w:tc>
          <w:tcPr>
            <w:tcW w:type="dxa" w:w="1701"/>
            <w:shd w:val="clear" w:color="auto" w:fill="D5E8F0"/>
            <w:vAlign w:val="top"/>
          </w:tcPr>
          <w:p>
            <w:r>
              <w:rPr>
                <w:rFonts w:ascii="Arial" w:hAnsi="Arial"/>
                <w:b/>
                <w:i w:val="0"/>
                <w:sz w:val="18"/>
              </w:rPr>
              <w:t>Risk Description</w:t>
            </w:r>
          </w:p>
        </w:tc>
        <w:tc>
          <w:tcPr>
            <w:tcW w:type="dxa" w:w="1247"/>
            <w:shd w:val="clear" w:color="auto" w:fill="D5E8F0"/>
            <w:vAlign w:val="top"/>
          </w:tcPr>
          <w:p>
            <w:r>
              <w:rPr>
                <w:rFonts w:ascii="Arial" w:hAnsi="Arial"/>
                <w:b/>
                <w:i w:val="0"/>
                <w:sz w:val="18"/>
              </w:rPr>
              <w:t>Risk Level</w:t>
            </w:r>
          </w:p>
        </w:tc>
        <w:tc>
          <w:tcPr>
            <w:tcW w:type="dxa" w:w="1020"/>
            <w:shd w:val="clear" w:color="auto" w:fill="D5E8F0"/>
            <w:vAlign w:val="top"/>
          </w:tcPr>
          <w:p>
            <w:r>
              <w:rPr>
                <w:rFonts w:ascii="Arial" w:hAnsi="Arial"/>
                <w:b/>
                <w:i w:val="0"/>
                <w:sz w:val="18"/>
              </w:rPr>
              <w:t>Proc. Type</w:t>
            </w:r>
          </w:p>
        </w:tc>
        <w:tc>
          <w:tcPr>
            <w:tcW w:type="dxa" w:w="3288"/>
            <w:shd w:val="clear" w:color="auto" w:fill="D5E8F0"/>
            <w:vAlign w:val="top"/>
          </w:tcPr>
          <w:p>
            <w:r>
              <w:rPr>
                <w:rFonts w:ascii="Arial" w:hAnsi="Arial"/>
                <w:b/>
                <w:i w:val="0"/>
                <w:sz w:val="18"/>
              </w:rPr>
              <w:t>Detailed Procedure</w:t>
            </w:r>
          </w:p>
        </w:tc>
        <w:tc>
          <w:tcPr>
            <w:tcW w:type="dxa" w:w="1417"/>
            <w:shd w:val="clear" w:color="auto" w:fill="D5E8F0"/>
            <w:vAlign w:val="top"/>
          </w:tcPr>
          <w:p>
            <w:r>
              <w:rPr>
                <w:rFonts w:ascii="Arial" w:hAnsi="Arial"/>
                <w:b/>
                <w:i w:val="0"/>
                <w:sz w:val="18"/>
              </w:rPr>
              <w:t>SA Reference</w:t>
            </w:r>
          </w:p>
        </w:tc>
        <w:tc>
          <w:tcPr>
            <w:tcW w:type="dxa" w:w="1417"/>
            <w:shd w:val="clear" w:color="auto" w:fill="D5E8F0"/>
            <w:vAlign w:val="top"/>
          </w:tcPr>
          <w:p>
            <w:r>
              <w:rPr>
                <w:rFonts w:ascii="Arial" w:hAnsi="Arial"/>
                <w:b/>
                <w:i w:val="0"/>
                <w:sz w:val="18"/>
              </w:rPr>
              <w:t>AS / Reg. Reference</w:t>
            </w:r>
          </w:p>
        </w:tc>
        <w:tc>
          <w:tcPr>
            <w:tcW w:type="dxa" w:w="1417"/>
            <w:shd w:val="clear" w:color="auto" w:fill="D5E8F0"/>
            <w:vAlign w:val="top"/>
          </w:tcPr>
          <w:p>
            <w:r>
              <w:rPr>
                <w:rFonts w:ascii="Arial" w:hAnsi="Arial"/>
                <w:b/>
                <w:i w:val="0"/>
                <w:sz w:val="18"/>
              </w:rPr>
              <w:t>ICAI Template Ref</w:t>
            </w:r>
          </w:p>
        </w:tc>
        <w:tc>
          <w:tcPr>
            <w:tcW w:type="dxa" w:w="1417"/>
            <w:shd w:val="clear" w:color="auto" w:fill="D5E8F0"/>
            <w:vAlign w:val="top"/>
          </w:tcPr>
          <w:p>
            <w:r>
              <w:rPr>
                <w:rFonts w:ascii="Arial" w:hAnsi="Arial"/>
                <w:b/>
                <w:i w:val="0"/>
                <w:sz w:val="18"/>
              </w:rPr>
              <w:t>Tool Reference</w:t>
            </w:r>
          </w:p>
        </w:tc>
        <w:tc>
          <w:tcPr>
            <w:tcW w:type="dxa" w:w="850"/>
            <w:shd w:val="clear" w:color="auto" w:fill="D5E8F0"/>
            <w:vAlign w:val="top"/>
          </w:tcPr>
          <w:p>
            <w:r>
              <w:rPr>
                <w:rFonts w:ascii="Arial" w:hAnsi="Arial"/>
                <w:b/>
                <w:i w:val="0"/>
                <w:sz w:val="18"/>
              </w:rPr>
              <w:t>WP Ref</w:t>
            </w:r>
          </w:p>
        </w:tc>
        <w:tc>
          <w:tcPr>
            <w:tcW w:type="dxa" w:w="1134"/>
            <w:shd w:val="clear" w:color="auto" w:fill="D5E8F0"/>
            <w:vAlign w:val="top"/>
          </w:tcPr>
          <w:p>
            <w:r>
              <w:rPr>
                <w:rFonts w:ascii="Arial" w:hAnsi="Arial"/>
                <w:b/>
                <w:i w:val="0"/>
                <w:sz w:val="18"/>
              </w:rPr>
              <w:t>Done By / Date</w:t>
            </w:r>
          </w:p>
        </w:tc>
        <w:tc>
          <w:tcPr>
            <w:tcW w:type="dxa" w:w="1134"/>
            <w:shd w:val="clear" w:color="auto" w:fill="D5E8F0"/>
            <w:vAlign w:val="top"/>
          </w:tcPr>
          <w:p>
            <w:r>
              <w:rPr>
                <w:rFonts w:ascii="Arial" w:hAnsi="Arial"/>
                <w:b/>
                <w:i w:val="0"/>
                <w:sz w:val="18"/>
              </w:rPr>
              <w:t>Reviewed By / Date</w:t>
            </w:r>
          </w:p>
        </w:tc>
      </w:tr>
      <w:tr>
        <w:tc>
          <w:tcPr>
            <w:tcW w:type="dxa" w:w="680"/>
            <w:vAlign w:val="top"/>
          </w:tcPr>
          <w:p>
            <w:r>
              <w:rPr>
                <w:rFonts w:ascii="Arial" w:hAnsi="Arial"/>
                <w:b w:val="0"/>
                <w:i w:val="0"/>
                <w:sz w:val="18"/>
              </w:rPr>
              <w:t>REG-001</w:t>
            </w:r>
          </w:p>
        </w:tc>
        <w:tc>
          <w:tcPr>
            <w:tcW w:type="dxa" w:w="1417"/>
            <w:vAlign w:val="top"/>
          </w:tcPr>
          <w:p>
            <w:r>
              <w:rPr>
                <w:rFonts w:ascii="Arial" w:hAnsi="Arial"/>
                <w:b w:val="0"/>
                <w:i w:val="0"/>
                <w:sz w:val="18"/>
              </w:rPr>
              <w:t>Capital Adequacy — CRAR Computation (Basel III / RBI Master Circular)</w:t>
            </w:r>
          </w:p>
        </w:tc>
        <w:tc>
          <w:tcPr>
            <w:tcW w:type="dxa" w:w="1020"/>
            <w:vAlign w:val="top"/>
          </w:tcPr>
          <w:p>
            <w:r>
              <w:rPr>
                <w:rFonts w:ascii="Arial" w:hAnsi="Arial"/>
                <w:b w:val="0"/>
                <w:i w:val="0"/>
                <w:sz w:val="18"/>
              </w:rPr>
              <w:t>[EXI, COM, VAL]</w:t>
            </w:r>
          </w:p>
        </w:tc>
        <w:tc>
          <w:tcPr>
            <w:tcW w:type="dxa" w:w="1701"/>
            <w:vAlign w:val="top"/>
          </w:tcPr>
          <w:p>
            <w:r>
              <w:rPr>
                <w:rFonts w:ascii="Arial" w:hAnsi="Arial"/>
                <w:b w:val="0"/>
                <w:i w:val="0"/>
                <w:sz w:val="18"/>
              </w:rPr>
              <w:t>Risk that CRAR is misstated due to incorrect risk-weight assignment, inclusion of ineligible capital instruments, or arithmetic error, causing the bank to report compliance while actually below the regulatory minimum.</w:t>
            </w:r>
          </w:p>
        </w:tc>
        <w:tc>
          <w:tcPr>
            <w:tcW w:type="dxa" w:w="1247"/>
            <w:vAlign w:val="top"/>
          </w:tcPr>
          <w:p>
            <w:r>
              <w:rPr>
                <w:rFonts w:ascii="Arial" w:hAnsi="Arial"/>
                <w:b w:val="0"/>
                <w:i w:val="0"/>
                <w:sz w:val="18"/>
              </w:rPr>
              <w:t>High (CRAR is the primary solvency indicator; misstated CRAR has direct regulatory consequences — ICAI GN on Audit of Banks 2025 Chapter 10).</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Obtain the CRAR computation statement (Pillar 1) as at 31 March. Verify: (a) Tier I Capital: paid-up equity, statutory reserves, capital reserves, retained earnings; deduct intangibles, deferred tax assets beyond limit, investments in subsidiaries above threshold; (b) Tier II Capital: subordinated debt (haircut schedule per RBI), general provisions (capped at 1.25% of RWA); (c) Risk-Weighted Assets: verify risk weights for credit risk by asset category (0% for SLR securities, 75% for MSME retail, 100% for CRE, 125% for consumer credit); recompute RWA for a sample of 20 exposures; (d) Confirm Tier I CRAR ≥ 8.5% (including capital conservation buffer) and Total CRAR ≥ 11.5%; (e) Agree CRAR return (Basel III — Table DF-1 onwards) to computation. Expected outcome: CRAR recomputes to within 10bps of reported; Tier I and Total CRAR above minimums. Exception protocol: CRAR below minimum — immediately escalate to partner; potential going concern assessment per SA 570. Assertion: [EXI, COM, VAL]. Reference: SA 250, Para 14; SA 570, Para 16.</w:t>
            </w:r>
          </w:p>
        </w:tc>
        <w:tc>
          <w:tcPr>
            <w:tcW w:type="dxa" w:w="1417"/>
            <w:vAlign w:val="top"/>
          </w:tcPr>
          <w:p>
            <w:r>
              <w:rPr>
                <w:rFonts w:ascii="Arial" w:hAnsi="Arial"/>
                <w:b w:val="0"/>
                <w:i w:val="0"/>
                <w:sz w:val="18"/>
              </w:rPr>
              <w:t>SA 250, Para 14; SA 570, Para 16; SA 330, Para 18–25</w:t>
            </w:r>
          </w:p>
        </w:tc>
        <w:tc>
          <w:tcPr>
            <w:tcW w:type="dxa" w:w="1417"/>
            <w:vAlign w:val="top"/>
          </w:tcPr>
          <w:p>
            <w:r>
              <w:rPr>
                <w:rFonts w:ascii="Arial" w:hAnsi="Arial"/>
                <w:b w:val="0"/>
                <w:i w:val="0"/>
                <w:sz w:val="18"/>
              </w:rPr>
              <w:t>Banking Regulation Act 1949, Section 11; RBI Master Circular — Basel III Capital Regulations (July 2015, updated); ICAI GN on Audit of Banks 2025 Chapter 10</w:t>
            </w:r>
          </w:p>
        </w:tc>
        <w:tc>
          <w:tcPr>
            <w:tcW w:type="dxa" w:w="1417"/>
            <w:vAlign w:val="top"/>
          </w:tcPr>
          <w:p>
            <w:r>
              <w:rPr>
                <w:rFonts w:ascii="Arial" w:hAnsi="Arial"/>
                <w:b w:val="0"/>
                <w:i w:val="0"/>
                <w:sz w:val="18"/>
              </w:rPr>
              <w:t>ICAI Ch. 4 — 4.2 — Laws and Regulations</w:t>
            </w:r>
          </w:p>
        </w:tc>
        <w:tc>
          <w:tcPr>
            <w:tcW w:type="dxa" w:w="1417"/>
            <w:vAlign w:val="top"/>
          </w:tcPr>
          <w:p>
            <w:r>
              <w:rPr>
                <w:rFonts w:ascii="Arial" w:hAnsi="Arial"/>
                <w:b w:val="0"/>
                <w:i w:val="0"/>
                <w:sz w:val="18"/>
              </w:rPr>
              <w:t>[Tool: T-01 Data Sense Pro (datasense.varma.ai) — Recompute RWA for sampled exposures; variance vs CRAR return]</w:t>
            </w:r>
          </w:p>
        </w:tc>
        <w:tc>
          <w:tcPr>
            <w:tcW w:type="dxa" w:w="850"/>
            <w:vAlign w:val="top"/>
          </w:tcPr>
          <w:p>
            <w:r>
              <w:rPr>
                <w:rFonts w:ascii="Arial" w:hAnsi="Arial"/>
                <w:b w:val="0"/>
                <w:i w:val="0"/>
                <w:sz w:val="18"/>
              </w:rPr>
              <w:t>WP-REG-01</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REG-002</w:t>
            </w:r>
          </w:p>
        </w:tc>
        <w:tc>
          <w:tcPr>
            <w:tcW w:type="dxa" w:w="1417"/>
            <w:vAlign w:val="top"/>
          </w:tcPr>
          <w:p>
            <w:r>
              <w:rPr>
                <w:rFonts w:ascii="Arial" w:hAnsi="Arial"/>
                <w:b w:val="0"/>
                <w:i w:val="0"/>
                <w:sz w:val="18"/>
              </w:rPr>
              <w:t>CRR Maintenance Verification — RBI Reporting Reconciliation</w:t>
            </w:r>
          </w:p>
        </w:tc>
        <w:tc>
          <w:tcPr>
            <w:tcW w:type="dxa" w:w="1020"/>
            <w:vAlign w:val="top"/>
          </w:tcPr>
          <w:p>
            <w:r>
              <w:rPr>
                <w:rFonts w:ascii="Arial" w:hAnsi="Arial"/>
                <w:b w:val="0"/>
                <w:i w:val="0"/>
                <w:sz w:val="18"/>
              </w:rPr>
              <w:t>[EXI, COM, ACC]</w:t>
            </w:r>
          </w:p>
        </w:tc>
        <w:tc>
          <w:tcPr>
            <w:tcW w:type="dxa" w:w="1701"/>
            <w:vAlign w:val="top"/>
          </w:tcPr>
          <w:p>
            <w:r>
              <w:rPr>
                <w:rFonts w:ascii="Arial" w:hAnsi="Arial"/>
                <w:b w:val="0"/>
                <w:i w:val="0"/>
                <w:sz w:val="18"/>
              </w:rPr>
              <w:t>Risk that the bank has maintained insufficient CRR (Cash Reserve Ratio) balances with RBI during the year, leading to RBI penalties, or that the CRR return overstates eligible balances.</w:t>
            </w:r>
          </w:p>
        </w:tc>
        <w:tc>
          <w:tcPr>
            <w:tcW w:type="dxa" w:w="1247"/>
            <w:vAlign w:val="top"/>
          </w:tcPr>
          <w:p>
            <w:r>
              <w:rPr>
                <w:rFonts w:ascii="Arial" w:hAnsi="Arial"/>
                <w:b w:val="0"/>
                <w:i w:val="0"/>
                <w:sz w:val="18"/>
              </w:rPr>
              <w:t>Medium (CRR is rule-based; daily monitoring via CBS; risk is in NDTL computation accuracy and inclusion of ineligible assets — ICAI GN on Audit of Banks 2025 Chapter 9).</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Obtain the CRR maintenance register for a sample of 12 fortnights during the year (including at least 2 from March quarter). For each fortnight: (a) Verify NDTL (Net Demand and Time Liabilities) used — agree to CBS NDTL computation; (b) Recompute minimum CRR requirement = 4% (or applicable rate) × NDTL; (c) Verify average daily CRR balance with RBI (as per RBI account statement) meets minimum for the fortnight; (d) For year end: agree RBI balance in Schedule 6 (Balances with RBI) to RBI account statement; (e) Confirm no RBI penalty notice for CRR shortfall during the year. Expected outcome: CRR maintained at or above minimum for all sampled fortnights; year-end balance agrees to RBI account. Exception protocol: CRR shortfall in any fortnight — verify RBI penalty payment; confirm amount is included in P&amp;L expenses; report in LFAR. Assertion: [EXI, COM, ACC]. Reference: SA 250, Para 14; SA 330, Para 18.</w:t>
            </w:r>
          </w:p>
        </w:tc>
        <w:tc>
          <w:tcPr>
            <w:tcW w:type="dxa" w:w="1417"/>
            <w:vAlign w:val="top"/>
          </w:tcPr>
          <w:p>
            <w:r>
              <w:rPr>
                <w:rFonts w:ascii="Arial" w:hAnsi="Arial"/>
                <w:b w:val="0"/>
                <w:i w:val="0"/>
                <w:sz w:val="18"/>
              </w:rPr>
              <w:t>SA 250, Para 14; SA 330, Para 18; SA 500, Para 7</w:t>
            </w:r>
          </w:p>
        </w:tc>
        <w:tc>
          <w:tcPr>
            <w:tcW w:type="dxa" w:w="1417"/>
            <w:vAlign w:val="top"/>
          </w:tcPr>
          <w:p>
            <w:r>
              <w:rPr>
                <w:rFonts w:ascii="Arial" w:hAnsi="Arial"/>
                <w:b w:val="0"/>
                <w:i w:val="0"/>
                <w:sz w:val="18"/>
              </w:rPr>
              <w:t>Banking Regulation Act 1949, Section 42; RBI Master Circular on CRR; ICAI GN on Audit of Banks 2025 Chapter 9</w:t>
            </w:r>
          </w:p>
        </w:tc>
        <w:tc>
          <w:tcPr>
            <w:tcW w:type="dxa" w:w="1417"/>
            <w:vAlign w:val="top"/>
          </w:tcPr>
          <w:p>
            <w:r>
              <w:rPr>
                <w:rFonts w:ascii="Arial" w:hAnsi="Arial"/>
                <w:b w:val="0"/>
                <w:i w:val="0"/>
                <w:sz w:val="18"/>
              </w:rPr>
              <w:t>ICAI Ch. 4 — 4.2 — Laws and Regulations</w:t>
            </w:r>
          </w:p>
        </w:tc>
        <w:tc>
          <w:tcPr>
            <w:tcW w:type="dxa" w:w="1417"/>
            <w:vAlign w:val="top"/>
          </w:tcPr>
          <w:p>
            <w:r>
              <w:rPr>
                <w:rFonts w:ascii="Arial" w:hAnsi="Arial"/>
                <w:b w:val="0"/>
                <w:i w:val="0"/>
                <w:sz w:val="18"/>
              </w:rPr>
              <w:t>Manual procedure</w:t>
            </w:r>
          </w:p>
        </w:tc>
        <w:tc>
          <w:tcPr>
            <w:tcW w:type="dxa" w:w="850"/>
            <w:vAlign w:val="top"/>
          </w:tcPr>
          <w:p>
            <w:r>
              <w:rPr>
                <w:rFonts w:ascii="Arial" w:hAnsi="Arial"/>
                <w:b w:val="0"/>
                <w:i w:val="0"/>
                <w:sz w:val="18"/>
              </w:rPr>
              <w:t>WP-REG-02</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REG-003</w:t>
            </w:r>
          </w:p>
        </w:tc>
        <w:tc>
          <w:tcPr>
            <w:tcW w:type="dxa" w:w="1417"/>
            <w:vAlign w:val="top"/>
          </w:tcPr>
          <w:p>
            <w:r>
              <w:rPr>
                <w:rFonts w:ascii="Arial" w:hAnsi="Arial"/>
                <w:b w:val="0"/>
                <w:i w:val="0"/>
                <w:sz w:val="18"/>
              </w:rPr>
              <w:t>Priority Sector Lending (PSL) — Achievement &amp; Sub-Target Compliance</w:t>
            </w:r>
          </w:p>
        </w:tc>
        <w:tc>
          <w:tcPr>
            <w:tcW w:type="dxa" w:w="1020"/>
            <w:vAlign w:val="top"/>
          </w:tcPr>
          <w:p>
            <w:r>
              <w:rPr>
                <w:rFonts w:ascii="Arial" w:hAnsi="Arial"/>
                <w:b w:val="0"/>
                <w:i w:val="0"/>
                <w:sz w:val="18"/>
              </w:rPr>
              <w:t>[COM, ACC, EXI]</w:t>
            </w:r>
          </w:p>
        </w:tc>
        <w:tc>
          <w:tcPr>
            <w:tcW w:type="dxa" w:w="1701"/>
            <w:vAlign w:val="top"/>
          </w:tcPr>
          <w:p>
            <w:r>
              <w:rPr>
                <w:rFonts w:ascii="Arial" w:hAnsi="Arial"/>
                <w:b w:val="0"/>
                <w:i w:val="0"/>
                <w:sz w:val="18"/>
              </w:rPr>
              <w:t>Risk that the bank's reported PSL achievement overstates actual eligible advances (due to incorrect PSL tagging in CBS), or that sub-target shortfalls (agriculture, weaker sections, micro enterprises) result in mandatory RIDF/SEDF contributions that are not properly accounted.</w:t>
            </w:r>
          </w:p>
        </w:tc>
        <w:tc>
          <w:tcPr>
            <w:tcW w:type="dxa" w:w="1247"/>
            <w:vAlign w:val="top"/>
          </w:tcPr>
          <w:p>
            <w:r>
              <w:rPr>
                <w:rFonts w:ascii="Arial" w:hAnsi="Arial"/>
                <w:b w:val="0"/>
                <w:i w:val="0"/>
                <w:sz w:val="18"/>
              </w:rPr>
              <w:t>Medium-High (PSL computation involves complex eligibility rules; sub-target shortfalls trigger RIDF/SEDF deposits at below-market rates — economic cost to bank — ICAI GN on Audit of Banks 2025 Chapter 9).</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Obtain the PSL achievement report as at 31 March (as submitted to RBI on CIMS portal). (a) Verify overall PSL achievement ≥ 40% of ANBC (Adjusted Net Bank Credit): recompute ANBC = Net Bank Credit + Non-SLR off-balance sheet items; confirm PSL total / ANBC ≥ 40%; (b) Verify sub-targets: Agriculture ≥ 18% ANBC (of which Small and Marginal Farmers ≥ 10%), Micro Enterprises ≥ 7.5%, Weaker Sections ≥ 12%; (c) For a sample of 30 accounts tagged PSL in CBS: verify PSL eligibility — borrower category, loan size, purpose, sector; inspect loan application and sanction letter; (d) Confirm RIDF / SEDF contributions for any shortfall are deposited with NABARD / NHB and the contribution is recognised as an asset at appropriate interest rate; (e) Agree PSL achievement to RBI CIMS data submission. Expected outcome: Overall and sub-targets met; sampled accounts genuinely PSL-eligible. Exception protocol: Mis-tagged PSL accounts — recompute achievement; quantify impact on RIDF obligation. Assertion: [COM, ACC, EXI]. Reference: SA 250, Para 14; SA 330, Para 18–25.</w:t>
            </w:r>
          </w:p>
        </w:tc>
        <w:tc>
          <w:tcPr>
            <w:tcW w:type="dxa" w:w="1417"/>
            <w:vAlign w:val="top"/>
          </w:tcPr>
          <w:p>
            <w:r>
              <w:rPr>
                <w:rFonts w:ascii="Arial" w:hAnsi="Arial"/>
                <w:b w:val="0"/>
                <w:i w:val="0"/>
                <w:sz w:val="18"/>
              </w:rPr>
              <w:t>SA 250, Para 14; SA 330, Para 18–25; SA 500, Para 7</w:t>
            </w:r>
          </w:p>
        </w:tc>
        <w:tc>
          <w:tcPr>
            <w:tcW w:type="dxa" w:w="1417"/>
            <w:vAlign w:val="top"/>
          </w:tcPr>
          <w:p>
            <w:r>
              <w:rPr>
                <w:rFonts w:ascii="Arial" w:hAnsi="Arial"/>
                <w:b w:val="0"/>
                <w:i w:val="0"/>
                <w:sz w:val="18"/>
              </w:rPr>
              <w:t>RBI Master Direction — Priority Sector Lending (Updated 2020); ICAI GN on Audit of Banks 2025 Chapter 9</w:t>
            </w:r>
          </w:p>
        </w:tc>
        <w:tc>
          <w:tcPr>
            <w:tcW w:type="dxa" w:w="1417"/>
            <w:vAlign w:val="top"/>
          </w:tcPr>
          <w:p>
            <w:r>
              <w:rPr>
                <w:rFonts w:ascii="Arial" w:hAnsi="Arial"/>
                <w:b w:val="0"/>
                <w:i w:val="0"/>
                <w:sz w:val="18"/>
              </w:rPr>
              <w:t>ICAI Ch. 4 — 4.2 — Laws and Regulations</w:t>
            </w:r>
          </w:p>
        </w:tc>
        <w:tc>
          <w:tcPr>
            <w:tcW w:type="dxa" w:w="1417"/>
            <w:vAlign w:val="top"/>
          </w:tcPr>
          <w:p>
            <w:r>
              <w:rPr>
                <w:rFonts w:ascii="Arial" w:hAnsi="Arial"/>
                <w:b w:val="0"/>
                <w:i w:val="0"/>
                <w:sz w:val="18"/>
              </w:rPr>
              <w:t>[Tool: T-01 Data Sense Pro (datasense.varma.ai) — PSL tag verification; ANBC recomputation; sub-target waterfall analysis]</w:t>
            </w:r>
          </w:p>
        </w:tc>
        <w:tc>
          <w:tcPr>
            <w:tcW w:type="dxa" w:w="850"/>
            <w:vAlign w:val="top"/>
          </w:tcPr>
          <w:p>
            <w:r>
              <w:rPr>
                <w:rFonts w:ascii="Arial" w:hAnsi="Arial"/>
                <w:b w:val="0"/>
                <w:i w:val="0"/>
                <w:sz w:val="18"/>
              </w:rPr>
              <w:t>WP-REG-03</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REG-004</w:t>
            </w:r>
          </w:p>
        </w:tc>
        <w:tc>
          <w:tcPr>
            <w:tcW w:type="dxa" w:w="1417"/>
            <w:vAlign w:val="top"/>
          </w:tcPr>
          <w:p>
            <w:r>
              <w:rPr>
                <w:rFonts w:ascii="Arial" w:hAnsi="Arial"/>
                <w:b w:val="0"/>
                <w:i w:val="0"/>
                <w:sz w:val="18"/>
              </w:rPr>
              <w:t>KYC / AML Compliance Testing (PMLA 2002, RBI KYC Master Direction)</w:t>
            </w:r>
          </w:p>
        </w:tc>
        <w:tc>
          <w:tcPr>
            <w:tcW w:type="dxa" w:w="1020"/>
            <w:vAlign w:val="top"/>
          </w:tcPr>
          <w:p>
            <w:r>
              <w:rPr>
                <w:rFonts w:ascii="Arial" w:hAnsi="Arial"/>
                <w:b w:val="0"/>
                <w:i w:val="0"/>
                <w:sz w:val="18"/>
              </w:rPr>
              <w:t>[COM, EXI]</w:t>
            </w:r>
          </w:p>
        </w:tc>
        <w:tc>
          <w:tcPr>
            <w:tcW w:type="dxa" w:w="1701"/>
            <w:vAlign w:val="top"/>
          </w:tcPr>
          <w:p>
            <w:r>
              <w:rPr>
                <w:rFonts w:ascii="Arial" w:hAnsi="Arial"/>
                <w:b w:val="0"/>
                <w:i w:val="0"/>
                <w:sz w:val="18"/>
              </w:rPr>
              <w:t>Risk that the bank's KYC programme has material deficiencies (incomplete customer due diligence, unverified beneficial ownership, non-filing of STRs) that expose the bank to PMLA regulatory action and reputational damage.</w:t>
            </w:r>
          </w:p>
        </w:tc>
        <w:tc>
          <w:tcPr>
            <w:tcW w:type="dxa" w:w="1247"/>
            <w:vAlign w:val="top"/>
          </w:tcPr>
          <w:p>
            <w:r>
              <w:rPr>
                <w:rFonts w:ascii="Arial" w:hAnsi="Arial"/>
                <w:b w:val="0"/>
                <w:i w:val="0"/>
                <w:sz w:val="18"/>
              </w:rPr>
              <w:t>High (KYC/AML non-compliance is a zero-tolerance area for RBI; FATF grey-listing risk makes AML a heightened scrutiny area — ICAI GN on Audit of Banks 2025 Chapter 11).</w:t>
            </w:r>
          </w:p>
        </w:tc>
        <w:tc>
          <w:tcPr>
            <w:tcW w:type="dxa" w:w="1020"/>
            <w:vAlign w:val="top"/>
          </w:tcPr>
          <w:p>
            <w:r>
              <w:rPr>
                <w:rFonts w:ascii="Arial" w:hAnsi="Arial"/>
                <w:b w:val="0"/>
                <w:i w:val="0"/>
                <w:sz w:val="18"/>
              </w:rPr>
              <w:t>Substantive (ToD + CAATs)</w:t>
            </w:r>
          </w:p>
        </w:tc>
        <w:tc>
          <w:tcPr>
            <w:tcW w:type="dxa" w:w="3288"/>
            <w:vAlign w:val="top"/>
          </w:tcPr>
          <w:p>
            <w:r>
              <w:rPr>
                <w:rFonts w:ascii="Arial" w:hAnsi="Arial"/>
                <w:b w:val="0"/>
                <w:i w:val="0"/>
                <w:sz w:val="18"/>
              </w:rPr>
              <w:t>Design and execute a risk-based KYC/AML testing programme: (a) KYC completeness: For a sample of 50 accounts opened during the year (20 individuals, 20 corporates, 10 high-risk categories): verify OVDs (Officially Valid Documents) are obtained and digitally verified; confirm Beneficial Ownership (BO) declaration for corporates (beneficial owner with &gt; 25% shareholding per PMLA Rule 9); (b) Periodic KYC re-verification: Obtain list of accounts due for periodic KYC update (High Risk: every 2 years; Medium Risk: every 8 years; Low Risk: every 10 years); confirm overdue percentage; (c) Transaction monitoring: Obtain CTR (Cash Transaction Report) filing register; verify all transactions ≥ ₹10 lakhs in cash are filed with FIU-IND within 15 days; (d) STR testing: Obtain STR register; verify suspicious transactions are filed within 7 days of suspicion crystallisation; confirm no undue delay in filing; (e) Agree KYC compliance report submitted to Board/ACB to workpaper findings. Expected outcome: All sampled accounts KYC-compliant; CTR/STR filings within regulatory timelines. Exception protocol: KYC gaps in high-risk accounts — escalate to partner; potential PMLA Section 12 non-compliance. Assertion: [COM, EXI]. Reference: SA 250, Para 14; SA 315, Para 28.</w:t>
            </w:r>
          </w:p>
        </w:tc>
        <w:tc>
          <w:tcPr>
            <w:tcW w:type="dxa" w:w="1417"/>
            <w:vAlign w:val="top"/>
          </w:tcPr>
          <w:p>
            <w:r>
              <w:rPr>
                <w:rFonts w:ascii="Arial" w:hAnsi="Arial"/>
                <w:b w:val="0"/>
                <w:i w:val="0"/>
                <w:sz w:val="18"/>
              </w:rPr>
              <w:t>SA 250, Para 14; SA 315, Para 28; SA 330, Para 18–25</w:t>
            </w:r>
          </w:p>
        </w:tc>
        <w:tc>
          <w:tcPr>
            <w:tcW w:type="dxa" w:w="1417"/>
            <w:vAlign w:val="top"/>
          </w:tcPr>
          <w:p>
            <w:r>
              <w:rPr>
                <w:rFonts w:ascii="Arial" w:hAnsi="Arial"/>
                <w:b w:val="0"/>
                <w:i w:val="0"/>
                <w:sz w:val="18"/>
              </w:rPr>
              <w:t>Prevention of Money Laundering Act 2002, Section 12; RBI KYC Master Direction (2016, updated); ICAI GN on Audit of Banks 2025 Chapter 11</w:t>
            </w:r>
          </w:p>
        </w:tc>
        <w:tc>
          <w:tcPr>
            <w:tcW w:type="dxa" w:w="1417"/>
            <w:vAlign w:val="top"/>
          </w:tcPr>
          <w:p>
            <w:r>
              <w:rPr>
                <w:rFonts w:ascii="Arial" w:hAnsi="Arial"/>
                <w:b w:val="0"/>
                <w:i w:val="0"/>
                <w:sz w:val="18"/>
              </w:rPr>
              <w:t>ICAI Ch. 4 — 4.2 — Laws and Regulations; Ch. 4 — 4.10 — Secretarial Compliances</w:t>
            </w:r>
          </w:p>
        </w:tc>
        <w:tc>
          <w:tcPr>
            <w:tcW w:type="dxa" w:w="1417"/>
            <w:vAlign w:val="top"/>
          </w:tcPr>
          <w:p>
            <w:r>
              <w:rPr>
                <w:rFonts w:ascii="Arial" w:hAnsi="Arial"/>
                <w:b w:val="0"/>
                <w:i w:val="0"/>
                <w:sz w:val="18"/>
              </w:rPr>
              <w:t>[Tool: T-03 Corporate Intelligence (intel.varma.ai) — Beneficial ownership verification; adverse media screening for sampled customers]</w:t>
            </w:r>
          </w:p>
        </w:tc>
        <w:tc>
          <w:tcPr>
            <w:tcW w:type="dxa" w:w="850"/>
            <w:vAlign w:val="top"/>
          </w:tcPr>
          <w:p>
            <w:r>
              <w:rPr>
                <w:rFonts w:ascii="Arial" w:hAnsi="Arial"/>
                <w:b w:val="0"/>
                <w:i w:val="0"/>
                <w:sz w:val="18"/>
              </w:rPr>
              <w:t>WP-REG-04</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REG-005</w:t>
            </w:r>
          </w:p>
        </w:tc>
        <w:tc>
          <w:tcPr>
            <w:tcW w:type="dxa" w:w="1417"/>
            <w:vAlign w:val="top"/>
          </w:tcPr>
          <w:p>
            <w:r>
              <w:rPr>
                <w:rFonts w:ascii="Arial" w:hAnsi="Arial"/>
                <w:b w:val="0"/>
                <w:i w:val="0"/>
                <w:sz w:val="18"/>
              </w:rPr>
              <w:t>FEMA Compliance — Foreign Currency Positions &amp; Overseas Exposures</w:t>
            </w:r>
          </w:p>
        </w:tc>
        <w:tc>
          <w:tcPr>
            <w:tcW w:type="dxa" w:w="1020"/>
            <w:vAlign w:val="top"/>
          </w:tcPr>
          <w:p>
            <w:r>
              <w:rPr>
                <w:rFonts w:ascii="Arial" w:hAnsi="Arial"/>
                <w:b w:val="0"/>
                <w:i w:val="0"/>
                <w:sz w:val="18"/>
              </w:rPr>
              <w:t>[COM, VAL, EXI]</w:t>
            </w:r>
          </w:p>
        </w:tc>
        <w:tc>
          <w:tcPr>
            <w:tcW w:type="dxa" w:w="1701"/>
            <w:vAlign w:val="top"/>
          </w:tcPr>
          <w:p>
            <w:r>
              <w:rPr>
                <w:rFonts w:ascii="Arial" w:hAnsi="Arial"/>
                <w:b w:val="0"/>
                <w:i w:val="0"/>
                <w:sz w:val="18"/>
              </w:rPr>
              <w:t>Risk that the bank's foreign currency open positions exceed RBI-prescribed limits, or that overseas borrowings and cross-border exposures violate FEMA 1999 permissions, resulting in regulatory penalties.</w:t>
            </w:r>
          </w:p>
        </w:tc>
        <w:tc>
          <w:tcPr>
            <w:tcW w:type="dxa" w:w="1247"/>
            <w:vAlign w:val="top"/>
          </w:tcPr>
          <w:p>
            <w:r>
              <w:rPr>
                <w:rFonts w:ascii="Arial" w:hAnsi="Arial"/>
                <w:b w:val="0"/>
                <w:i w:val="0"/>
                <w:sz w:val="18"/>
              </w:rPr>
              <w:t>Medium (FEMA compliance is a specialised area; risk is higher for banks with large forex operations or overseas subsidiaries — ICAI GN on Audit of Banks 2025 Chapter 11).</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Obtain the Foreign Exchange Department compliance report for the year. (a) Open Position Limits: Verify that the bank's overnight open position in each foreign currency did not exceed RBI-prescribed limits (Daylight OPL and overnight OPL per RBI approval); obtain daily open position reports for last quarter and sample 10 days; (b) NRE / NRO / FCNR(B) deposits: Confirm interest rates on FCNR(B) deposits are within LIBOR/SOFR + RBI-prescribed spread limits; confirm FCNR(B) deposits are swapped with RBI at the prescribed rate (if applicable); (c) External Commercial Borrowings (ECB): If bank has ECB: verify compliance with RBI Master Direction on ECB — end-use certificate, hedging requirements, reporting (Form ECB 2 monthly); (d) Correspondent Banking: Confirm nostro account balances reconcile with correspondent bank statements as at year end; (e) FEMA annual return (APR/Form 15CB): Confirm filing compliance for overseas investments and remittances. Expected outcome: All open positions within limits; deposit rates within RBI caps; nostros reconciled. Exception protocol: Limit breach — quantify; assess compounding penalty under FEMA Section 13; report in LFAR. Assertion: [COM, VAL, EXI]. Reference: SA 250, Para 14; SA 500, Para 7.</w:t>
            </w:r>
          </w:p>
        </w:tc>
        <w:tc>
          <w:tcPr>
            <w:tcW w:type="dxa" w:w="1417"/>
            <w:vAlign w:val="top"/>
          </w:tcPr>
          <w:p>
            <w:r>
              <w:rPr>
                <w:rFonts w:ascii="Arial" w:hAnsi="Arial"/>
                <w:b w:val="0"/>
                <w:i w:val="0"/>
                <w:sz w:val="18"/>
              </w:rPr>
              <w:t>SA 250, Para 14; SA 500, Para 7; SA 330, Para 18</w:t>
            </w:r>
          </w:p>
        </w:tc>
        <w:tc>
          <w:tcPr>
            <w:tcW w:type="dxa" w:w="1417"/>
            <w:vAlign w:val="top"/>
          </w:tcPr>
          <w:p>
            <w:r>
              <w:rPr>
                <w:rFonts w:ascii="Arial" w:hAnsi="Arial"/>
                <w:b w:val="0"/>
                <w:i w:val="0"/>
                <w:sz w:val="18"/>
              </w:rPr>
              <w:t>FEMA 1999, Section 10; RBI Master Direction on Risk Management and Inter-Bank Dealings; ICAI GN on Audit of Banks 2025 Chapter 11</w:t>
            </w:r>
          </w:p>
        </w:tc>
        <w:tc>
          <w:tcPr>
            <w:tcW w:type="dxa" w:w="1417"/>
            <w:vAlign w:val="top"/>
          </w:tcPr>
          <w:p>
            <w:r>
              <w:rPr>
                <w:rFonts w:ascii="Arial" w:hAnsi="Arial"/>
                <w:b w:val="0"/>
                <w:i w:val="0"/>
                <w:sz w:val="18"/>
              </w:rPr>
              <w:t>ICAI Ch. 4 — 4.2 — Laws and Regulations</w:t>
            </w:r>
          </w:p>
        </w:tc>
        <w:tc>
          <w:tcPr>
            <w:tcW w:type="dxa" w:w="1417"/>
            <w:vAlign w:val="top"/>
          </w:tcPr>
          <w:p>
            <w:r>
              <w:rPr>
                <w:rFonts w:ascii="Arial" w:hAnsi="Arial"/>
                <w:b w:val="0"/>
                <w:i w:val="0"/>
                <w:sz w:val="18"/>
              </w:rPr>
              <w:t>Manual procedure — obtain reconciliations from Treasury / Forex Operations</w:t>
            </w:r>
          </w:p>
        </w:tc>
        <w:tc>
          <w:tcPr>
            <w:tcW w:type="dxa" w:w="850"/>
            <w:vAlign w:val="top"/>
          </w:tcPr>
          <w:p>
            <w:r>
              <w:rPr>
                <w:rFonts w:ascii="Arial" w:hAnsi="Arial"/>
                <w:b w:val="0"/>
                <w:i w:val="0"/>
                <w:sz w:val="18"/>
              </w:rPr>
              <w:t>WP-REG-05</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REG-006</w:t>
            </w:r>
          </w:p>
        </w:tc>
        <w:tc>
          <w:tcPr>
            <w:tcW w:type="dxa" w:w="1417"/>
            <w:vAlign w:val="top"/>
          </w:tcPr>
          <w:p>
            <w:r>
              <w:rPr>
                <w:rFonts w:ascii="Arial" w:hAnsi="Arial"/>
                <w:b w:val="0"/>
                <w:i w:val="0"/>
                <w:sz w:val="18"/>
              </w:rPr>
              <w:t>Fraud Reporting Compliance — RBI Fraud Classification &amp; CRILC Reporting</w:t>
            </w:r>
          </w:p>
        </w:tc>
        <w:tc>
          <w:tcPr>
            <w:tcW w:type="dxa" w:w="1020"/>
            <w:vAlign w:val="top"/>
          </w:tcPr>
          <w:p>
            <w:r>
              <w:rPr>
                <w:rFonts w:ascii="Arial" w:hAnsi="Arial"/>
                <w:b w:val="0"/>
                <w:i w:val="0"/>
                <w:sz w:val="18"/>
              </w:rPr>
              <w:t>[COM, EXI, OCC]</w:t>
            </w:r>
          </w:p>
        </w:tc>
        <w:tc>
          <w:tcPr>
            <w:tcW w:type="dxa" w:w="1701"/>
            <w:vAlign w:val="top"/>
          </w:tcPr>
          <w:p>
            <w:r>
              <w:rPr>
                <w:rFonts w:ascii="Arial" w:hAnsi="Arial"/>
                <w:b w:val="0"/>
                <w:i w:val="0"/>
                <w:sz w:val="18"/>
              </w:rPr>
              <w:t>Risk that frauds are not classified and reported to RBI within prescribed timelines, or that CRILC (Central Repository of Information on Large Credits) reporting is incomplete, leading to RBI penalties and reputational damage.</w:t>
            </w:r>
          </w:p>
        </w:tc>
        <w:tc>
          <w:tcPr>
            <w:tcW w:type="dxa" w:w="1247"/>
            <w:vAlign w:val="top"/>
          </w:tcPr>
          <w:p>
            <w:r>
              <w:rPr>
                <w:rFonts w:ascii="Arial" w:hAnsi="Arial"/>
                <w:b w:val="0"/>
                <w:i w:val="0"/>
                <w:sz w:val="18"/>
              </w:rPr>
              <w:t>High (Fraud reporting is a zero-tolerance area per RBI; delay in fraud reporting attracts direct RBI action; ICAI GN on Audit of Banks 2025 Chapter 11 specifically covers auditor responsibilities for fraud — SA 240).</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Obtain the fraud register maintained by the bank for the year. (a) Fraud Classification: For each fraud reported during the year: verify it is classified per RBI fraud category (Misappropriation, Kite Flying, Fraudulent Encashment, Unauthorised Credit, Forgery/Falsification, Cheating, Others); verify the classification date and escalation to Board; (b) RBI Reporting Timelines: Confirm frauds ≥ ₹1 lakh reported to RBI within 3 weeks of detection (FMR-1); confirm frauds ≥ ₹50 crore reported to RBI on the date of occurrence (Flash Report); (c) Provision Adequacy: Confirm provisions for fraud losses are made in the year of detection (100% provisioning in year 1, or spread over 4 quarters per RBI direction); agree fraud provisions to provision register; (d) CRILC Reporting: For borrowers with aggregate exposure ≥ ₹5 crore: verify CRILC data submitted quarterly agrees to CBS loan data; verify SMA (Special Mention Account) tagging in CBS matches CRILC returns; (e) Confirm Section 143(12) fraud reporting to Audit Committee — verify no reportable fraud has been omitted. Expected outcome: All frauds classified per RBI; FMR-1 filed within 3 weeks; provisions adequate; CRILC agrees to CBS. Exception protocol: Unreported fraud — immediately escalate per SA 240, Para 40; Section 143(12) implications. Assertion: [COM, EXI, OCC]. Reference: SA 240, Para 32–40; SA 250, Para 14.</w:t>
            </w:r>
          </w:p>
        </w:tc>
        <w:tc>
          <w:tcPr>
            <w:tcW w:type="dxa" w:w="1417"/>
            <w:vAlign w:val="top"/>
          </w:tcPr>
          <w:p>
            <w:r>
              <w:rPr>
                <w:rFonts w:ascii="Arial" w:hAnsi="Arial"/>
                <w:b w:val="0"/>
                <w:i w:val="0"/>
                <w:sz w:val="18"/>
              </w:rPr>
              <w:t>SA 240, Para 32–40; SA 250, Para 14; SA 330, Para 18–25</w:t>
            </w:r>
          </w:p>
        </w:tc>
        <w:tc>
          <w:tcPr>
            <w:tcW w:type="dxa" w:w="1417"/>
            <w:vAlign w:val="top"/>
          </w:tcPr>
          <w:p>
            <w:r>
              <w:rPr>
                <w:rFonts w:ascii="Arial" w:hAnsi="Arial"/>
                <w:b w:val="0"/>
                <w:i w:val="0"/>
                <w:sz w:val="18"/>
              </w:rPr>
              <w:t>RBI Master Direction on Frauds Classification and Reporting (July 2016, updated); CRILC Reporting Guidelines; Companies Act 2013, Section 143(12); ICAI GN on Audit of Banks 2025 Chapter 11</w:t>
            </w:r>
          </w:p>
        </w:tc>
        <w:tc>
          <w:tcPr>
            <w:tcW w:type="dxa" w:w="1417"/>
            <w:vAlign w:val="top"/>
          </w:tcPr>
          <w:p>
            <w:r>
              <w:rPr>
                <w:rFonts w:ascii="Arial" w:hAnsi="Arial"/>
                <w:b w:val="0"/>
                <w:i w:val="0"/>
                <w:sz w:val="18"/>
              </w:rPr>
              <w:t>ICAI Ch. 4 — 4.2 — Laws and Regulations; Ch. 4 — 4.10 — Secretarial Compliances</w:t>
            </w:r>
          </w:p>
        </w:tc>
        <w:tc>
          <w:tcPr>
            <w:tcW w:type="dxa" w:w="1417"/>
            <w:vAlign w:val="top"/>
          </w:tcPr>
          <w:p>
            <w:r>
              <w:rPr>
                <w:rFonts w:ascii="Arial" w:hAnsi="Arial"/>
                <w:b w:val="0"/>
                <w:i w:val="0"/>
                <w:sz w:val="18"/>
              </w:rPr>
              <w:t>Manual procedure — cross-reference fraud register to CBS SMA/NPA tagging and provision schedule</w:t>
            </w:r>
          </w:p>
        </w:tc>
        <w:tc>
          <w:tcPr>
            <w:tcW w:type="dxa" w:w="850"/>
            <w:vAlign w:val="top"/>
          </w:tcPr>
          <w:p>
            <w:r>
              <w:rPr>
                <w:rFonts w:ascii="Arial" w:hAnsi="Arial"/>
                <w:b w:val="0"/>
                <w:i w:val="0"/>
                <w:sz w:val="18"/>
              </w:rPr>
              <w:t>WP-REG-06</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REG-007</w:t>
            </w:r>
          </w:p>
        </w:tc>
        <w:tc>
          <w:tcPr>
            <w:tcW w:type="dxa" w:w="1417"/>
            <w:vAlign w:val="top"/>
          </w:tcPr>
          <w:p>
            <w:r>
              <w:rPr>
                <w:rFonts w:ascii="Arial" w:hAnsi="Arial"/>
                <w:b w:val="0"/>
                <w:i w:val="0"/>
                <w:sz w:val="18"/>
              </w:rPr>
              <w:t>Digital Banking / CBS IT Controls (ICAI GN 2025 — Cyber &amp; Digital Chapter)</w:t>
            </w:r>
          </w:p>
        </w:tc>
        <w:tc>
          <w:tcPr>
            <w:tcW w:type="dxa" w:w="1020"/>
            <w:vAlign w:val="top"/>
          </w:tcPr>
          <w:p>
            <w:r>
              <w:rPr>
                <w:rFonts w:ascii="Arial" w:hAnsi="Arial"/>
                <w:b w:val="0"/>
                <w:i w:val="0"/>
                <w:sz w:val="18"/>
              </w:rPr>
              <w:t>[EXI, COM, ACC]</w:t>
            </w:r>
          </w:p>
        </w:tc>
        <w:tc>
          <w:tcPr>
            <w:tcW w:type="dxa" w:w="1701"/>
            <w:vAlign w:val="top"/>
          </w:tcPr>
          <w:p>
            <w:r>
              <w:rPr>
                <w:rFonts w:ascii="Arial" w:hAnsi="Arial"/>
                <w:b w:val="0"/>
                <w:i w:val="0"/>
                <w:sz w:val="18"/>
              </w:rPr>
              <w:t>Risk that inadequate IT general controls (ITGC) in the CBS (Core Banking Solution) lead to unauthorised transactions, data integrity failures, or inability to rely on system-generated reports used in audit procedures.</w:t>
            </w:r>
          </w:p>
        </w:tc>
        <w:tc>
          <w:tcPr>
            <w:tcW w:type="dxa" w:w="1247"/>
            <w:vAlign w:val="top"/>
          </w:tcPr>
          <w:p>
            <w:r>
              <w:rPr>
                <w:rFonts w:ascii="Arial" w:hAnsi="Arial"/>
                <w:b w:val="0"/>
                <w:i w:val="0"/>
                <w:sz w:val="18"/>
              </w:rPr>
              <w:t>High (All bank workpapers rely on CBS-generated data; ITGCs are the foundation of data reliance — ICAI GN on Audit of Banks 2025 Chapter 13 'Digital Banking and IT Controls').</w:t>
            </w:r>
          </w:p>
        </w:tc>
        <w:tc>
          <w:tcPr>
            <w:tcW w:type="dxa" w:w="1020"/>
            <w:vAlign w:val="top"/>
          </w:tcPr>
          <w:p>
            <w:r>
              <w:rPr>
                <w:rFonts w:ascii="Arial" w:hAnsi="Arial"/>
                <w:b w:val="0"/>
                <w:i w:val="0"/>
                <w:sz w:val="18"/>
              </w:rPr>
              <w:t>IT Controls Review (ToC)</w:t>
            </w:r>
          </w:p>
        </w:tc>
        <w:tc>
          <w:tcPr>
            <w:tcW w:type="dxa" w:w="3288"/>
            <w:vAlign w:val="top"/>
          </w:tcPr>
          <w:p>
            <w:r>
              <w:rPr>
                <w:rFonts w:ascii="Arial" w:hAnsi="Arial"/>
                <w:b w:val="0"/>
                <w:i w:val="0"/>
                <w:sz w:val="18"/>
              </w:rPr>
              <w:t>Execute a focused IT General Controls review per ICAI GN on Audit of Banks 2025 Chapter 13: (a) Access Controls: Obtain CBS user access list; identify privileged users (system administrators, DBA); verify no business users have DBA-level access; confirm terminated employees' access revoked within 24 hours (obtain HR termination list vs CBS deactivation dates for last quarter); (b) Change Management: Obtain CBS change log for the year; for a sample of 5 major CBS patches/upgrades: verify change advisory board (CAB) approval, testing in UAT environment, and rollback plan; (c) Batch Processing: Obtain the EOD (End of Day) batch job log for last 3 months; verify no failed batch jobs without documented resolution; confirm interest accrual and NPA ageing batches run without exception; (d) Data Backup and DR: Obtain evidence of last DR drill test (within 12 months); confirm RTO/RPO targets met; verify offsite backup of CBS data; (e) Cyber Incident Log: Obtain cyber incident register for the year; confirm all incidents above ₹[threshold] reported to RBI under RBI Cybersecurity Framework; (f) Assess whether reliance on CBS reports is appropriate given ITGC findings; document conclusion on system reliability. Expected outcome: No uncontrolled privileged access; change controls operating; batch jobs clean; DR tested. Exception protocol: Failed ITGCs — expand substantive procedures; cannot rely on CBS-generated data for affected processes. Assertion: [EXI, COM, ACC]. Reference: SA 315, Para 12–19; SA 330, Para 8–10.</w:t>
            </w:r>
          </w:p>
        </w:tc>
        <w:tc>
          <w:tcPr>
            <w:tcW w:type="dxa" w:w="1417"/>
            <w:vAlign w:val="top"/>
          </w:tcPr>
          <w:p>
            <w:r>
              <w:rPr>
                <w:rFonts w:ascii="Arial" w:hAnsi="Arial"/>
                <w:b w:val="0"/>
                <w:i w:val="0"/>
                <w:sz w:val="18"/>
              </w:rPr>
              <w:t>SA 315, Para 12–19; SA 330, Para 8–10; SA 402, Para 9–15</w:t>
            </w:r>
          </w:p>
        </w:tc>
        <w:tc>
          <w:tcPr>
            <w:tcW w:type="dxa" w:w="1417"/>
            <w:vAlign w:val="top"/>
          </w:tcPr>
          <w:p>
            <w:r>
              <w:rPr>
                <w:rFonts w:ascii="Arial" w:hAnsi="Arial"/>
                <w:b w:val="0"/>
                <w:i w:val="0"/>
                <w:sz w:val="18"/>
              </w:rPr>
              <w:t>RBI Cybersecurity Framework for Banks (June 2016, updated); RBI Guidelines on IT Governance and Risk Management; ICAI GN on Audit of Banks 2025 Chapter 13</w:t>
            </w:r>
          </w:p>
        </w:tc>
        <w:tc>
          <w:tcPr>
            <w:tcW w:type="dxa" w:w="1417"/>
            <w:vAlign w:val="top"/>
          </w:tcPr>
          <w:p>
            <w:r>
              <w:rPr>
                <w:rFonts w:ascii="Arial" w:hAnsi="Arial"/>
                <w:b w:val="0"/>
                <w:i w:val="0"/>
                <w:sz w:val="18"/>
              </w:rPr>
              <w:t>ICAI Ch. 4 — 4.2 — Laws and Regulations; ICAI GN on Audit of Banks 2025 Chapter 13</w:t>
            </w:r>
          </w:p>
        </w:tc>
        <w:tc>
          <w:tcPr>
            <w:tcW w:type="dxa" w:w="1417"/>
            <w:vAlign w:val="top"/>
          </w:tcPr>
          <w:p>
            <w:r>
              <w:rPr>
                <w:rFonts w:ascii="Arial" w:hAnsi="Arial"/>
                <w:b w:val="0"/>
                <w:i w:val="0"/>
                <w:sz w:val="18"/>
              </w:rPr>
              <w:t>Manual procedure — IT team walkthrough; CISA support if required</w:t>
            </w:r>
          </w:p>
        </w:tc>
        <w:tc>
          <w:tcPr>
            <w:tcW w:type="dxa" w:w="850"/>
            <w:vAlign w:val="top"/>
          </w:tcPr>
          <w:p>
            <w:r>
              <w:rPr>
                <w:rFonts w:ascii="Arial" w:hAnsi="Arial"/>
                <w:b w:val="0"/>
                <w:i w:val="0"/>
                <w:sz w:val="18"/>
              </w:rPr>
              <w:t>WP-REG-07</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REG-008</w:t>
            </w:r>
          </w:p>
        </w:tc>
        <w:tc>
          <w:tcPr>
            <w:tcW w:type="dxa" w:w="1417"/>
            <w:vAlign w:val="top"/>
          </w:tcPr>
          <w:p>
            <w:r>
              <w:rPr>
                <w:rFonts w:ascii="Arial" w:hAnsi="Arial"/>
                <w:b w:val="0"/>
                <w:i w:val="0"/>
                <w:sz w:val="18"/>
              </w:rPr>
              <w:t>Disclosure Checklist — Schedule III (Banking Companies — Third Schedule)</w:t>
            </w:r>
          </w:p>
        </w:tc>
        <w:tc>
          <w:tcPr>
            <w:tcW w:type="dxa" w:w="1020"/>
            <w:vAlign w:val="top"/>
          </w:tcPr>
          <w:p>
            <w:r>
              <w:rPr>
                <w:rFonts w:ascii="Arial" w:hAnsi="Arial"/>
                <w:b w:val="0"/>
                <w:i w:val="0"/>
                <w:sz w:val="18"/>
              </w:rPr>
              <w:t>[COM, CLS, ACC]</w:t>
            </w:r>
          </w:p>
        </w:tc>
        <w:tc>
          <w:tcPr>
            <w:tcW w:type="dxa" w:w="1701"/>
            <w:vAlign w:val="top"/>
          </w:tcPr>
          <w:p>
            <w:r>
              <w:rPr>
                <w:rFonts w:ascii="Arial" w:hAnsi="Arial"/>
                <w:b w:val="0"/>
                <w:i w:val="0"/>
                <w:sz w:val="18"/>
              </w:rPr>
              <w:t>Risk that the financial statements do not comply with the Third Schedule of the Banking Regulation Act 1949 (Form A — Balance Sheet and Form B — Profit &amp; Loss Account) and the prescribed notes to accounts, leading to a qualified or modified audit opinion.</w:t>
            </w:r>
          </w:p>
        </w:tc>
        <w:tc>
          <w:tcPr>
            <w:tcW w:type="dxa" w:w="1247"/>
            <w:vAlign w:val="top"/>
          </w:tcPr>
          <w:p>
            <w:r>
              <w:rPr>
                <w:rFonts w:ascii="Arial" w:hAnsi="Arial"/>
                <w:b w:val="0"/>
                <w:i w:val="0"/>
                <w:sz w:val="18"/>
              </w:rPr>
              <w:t>Medium (Schedule compliance is a mechanical but important check; non-compliance creates qualification risk — ICAI GN on Audit of Banks 2025 Appendix I).</w:t>
            </w:r>
          </w:p>
        </w:tc>
        <w:tc>
          <w:tcPr>
            <w:tcW w:type="dxa" w:w="1020"/>
            <w:vAlign w:val="top"/>
          </w:tcPr>
          <w:p>
            <w:r>
              <w:rPr>
                <w:rFonts w:ascii="Arial" w:hAnsi="Arial"/>
                <w:b w:val="0"/>
                <w:i w:val="0"/>
                <w:sz w:val="18"/>
              </w:rPr>
              <w:t>Disclosure</w:t>
            </w:r>
          </w:p>
        </w:tc>
        <w:tc>
          <w:tcPr>
            <w:tcW w:type="dxa" w:w="3288"/>
            <w:vAlign w:val="top"/>
          </w:tcPr>
          <w:p>
            <w:r>
              <w:rPr>
                <w:rFonts w:ascii="Arial" w:hAnsi="Arial"/>
                <w:b w:val="0"/>
                <w:i w:val="0"/>
                <w:sz w:val="18"/>
              </w:rPr>
              <w:t>Obtain the draft financial statements (Balance Sheet, P&amp;L, Notes, Schedules 1 through 16). Using the Third Schedule Checklist (Banking Regulation Act 1949): (a) Balance Sheet — Form A: Verify all required Schedules present: Sch. 1 (Capital), Sch. 2 (Reserves &amp; Surplus), Sch. 3 (Deposits), Sch. 4 (Borrowings), Sch. 5 (Other Liabilities), Sch. 6 (Cash/RBI Balance), Sch. 7 (Balances with Banks), Sch. 8 (Investments), Sch. 9 (Advances), Sch. 10 (Fixed Assets), Sch. 11 (Other Assets); (b) P&amp;L — Form B: Verify Sch. 13 (Interest Earned), Sch. 14 (Other Income), Sch. 15 (Interest Expended), Sch. 16 (Operating Expenses); (c) Mandatory Notes: Verify presence of: Capital Adequacy ratios (Tier I, Tier II, Total CRAR), Gross NPA/Net NPA ratios, Movement of NPA, Provisions and contingencies note, Related Party disclosures (AS 18), Segment reporting (AS 17), Earnings per share (AS 20), Deferred tax note (AS 22), Contingent liabilities Schedule 12; (d) For each Schedule: cast and cross-foot; agree opening balance to prior-year audited accounts; agree closing to GL. Expected outcome: All Form A/B Schedules present and correctly totalled; all mandatory notes complete. Exception protocol: Missing disclosure — obtain from management; if unresolvable, consider modified opinion. Assertion: [COM, CLS, ACC]. Reference: SA 700, Para 10–20; SA 710, Para 8.</w:t>
            </w:r>
          </w:p>
        </w:tc>
        <w:tc>
          <w:tcPr>
            <w:tcW w:type="dxa" w:w="1417"/>
            <w:vAlign w:val="top"/>
          </w:tcPr>
          <w:p>
            <w:r>
              <w:rPr>
                <w:rFonts w:ascii="Arial" w:hAnsi="Arial"/>
                <w:b w:val="0"/>
                <w:i w:val="0"/>
                <w:sz w:val="18"/>
              </w:rPr>
              <w:t>SA 700, Para 10–20; SA 710, Para 8; SA 260, Para 12</w:t>
            </w:r>
          </w:p>
        </w:tc>
        <w:tc>
          <w:tcPr>
            <w:tcW w:type="dxa" w:w="1417"/>
            <w:vAlign w:val="top"/>
          </w:tcPr>
          <w:p>
            <w:r>
              <w:rPr>
                <w:rFonts w:ascii="Arial" w:hAnsi="Arial"/>
                <w:b w:val="0"/>
                <w:i w:val="0"/>
                <w:sz w:val="18"/>
              </w:rPr>
              <w:t>Banking Regulation Act 1949, Third Schedule (Form A and Form B); AS 17 (Segment Reporting); AS 18 (Related Parties); ICAI GN on Audit of Banks 2025 Appendix I</w:t>
            </w:r>
          </w:p>
        </w:tc>
        <w:tc>
          <w:tcPr>
            <w:tcW w:type="dxa" w:w="1417"/>
            <w:vAlign w:val="top"/>
          </w:tcPr>
          <w:p>
            <w:r>
              <w:rPr>
                <w:rFonts w:ascii="Arial" w:hAnsi="Arial"/>
                <w:b w:val="0"/>
                <w:i w:val="0"/>
                <w:sz w:val="18"/>
              </w:rPr>
              <w:t>ICAI Ch. 5 — 5.3 — Schedule III Checklist; Ch. 6 — 6.1 — Audit Report</w:t>
            </w:r>
          </w:p>
        </w:tc>
        <w:tc>
          <w:tcPr>
            <w:tcW w:type="dxa" w:w="1417"/>
            <w:vAlign w:val="top"/>
          </w:tcPr>
          <w:p>
            <w:r>
              <w:rPr>
                <w:rFonts w:ascii="Arial" w:hAnsi="Arial"/>
                <w:b w:val="0"/>
                <w:i w:val="0"/>
                <w:sz w:val="18"/>
              </w:rPr>
              <w:t>Manual procedure — checklist-based review of draft financial statements</w:t>
            </w:r>
          </w:p>
        </w:tc>
        <w:tc>
          <w:tcPr>
            <w:tcW w:type="dxa" w:w="850"/>
            <w:vAlign w:val="top"/>
          </w:tcPr>
          <w:p>
            <w:r>
              <w:rPr>
                <w:rFonts w:ascii="Arial" w:hAnsi="Arial"/>
                <w:b w:val="0"/>
                <w:i w:val="0"/>
                <w:sz w:val="18"/>
              </w:rPr>
              <w:t>WP-REG-08</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REG-009</w:t>
            </w:r>
          </w:p>
        </w:tc>
        <w:tc>
          <w:tcPr>
            <w:tcW w:type="dxa" w:w="1417"/>
            <w:vAlign w:val="top"/>
          </w:tcPr>
          <w:p>
            <w:r>
              <w:rPr>
                <w:rFonts w:ascii="Arial" w:hAnsi="Arial"/>
                <w:b w:val="0"/>
                <w:i w:val="0"/>
                <w:sz w:val="18"/>
              </w:rPr>
              <w:t>LFAR — Regulatory Compliance Section (KYC, AML, PSL, Capital Adequacy)</w:t>
            </w:r>
          </w:p>
        </w:tc>
        <w:tc>
          <w:tcPr>
            <w:tcW w:type="dxa" w:w="1020"/>
            <w:vAlign w:val="top"/>
          </w:tcPr>
          <w:p>
            <w:r>
              <w:rPr>
                <w:rFonts w:ascii="Arial" w:hAnsi="Arial"/>
                <w:b w:val="0"/>
                <w:i w:val="0"/>
                <w:sz w:val="18"/>
              </w:rPr>
              <w:t>[COM, CLS, ACC]</w:t>
            </w:r>
          </w:p>
        </w:tc>
        <w:tc>
          <w:tcPr>
            <w:tcW w:type="dxa" w:w="1701"/>
            <w:vAlign w:val="top"/>
          </w:tcPr>
          <w:p>
            <w:r>
              <w:rPr>
                <w:rFonts w:ascii="Arial" w:hAnsi="Arial"/>
                <w:b w:val="0"/>
                <w:i w:val="0"/>
                <w:sz w:val="18"/>
              </w:rPr>
              <w:t>Risk that the LFAR Regulatory Compliance section contains responses inconsistent with workpaper findings, omits material regulatory deficiencies, or uses outdated LFAR format.</w:t>
            </w:r>
          </w:p>
        </w:tc>
        <w:tc>
          <w:tcPr>
            <w:tcW w:type="dxa" w:w="1247"/>
            <w:vAlign w:val="top"/>
          </w:tcPr>
          <w:p>
            <w:r>
              <w:rPr>
                <w:rFonts w:ascii="Arial" w:hAnsi="Arial"/>
                <w:b w:val="0"/>
                <w:i w:val="0"/>
                <w:sz w:val="18"/>
              </w:rPr>
              <w:t>Medium (LFAR is a key regulatory deliverable submitted to RBI; inconsistencies with workpapers expose the engagement to quality review risk — ICAI GN on Audit of Banks 2025 Chapter 12).</w:t>
            </w:r>
          </w:p>
        </w:tc>
        <w:tc>
          <w:tcPr>
            <w:tcW w:type="dxa" w:w="1020"/>
            <w:vAlign w:val="top"/>
          </w:tcPr>
          <w:p>
            <w:r>
              <w:rPr>
                <w:rFonts w:ascii="Arial" w:hAnsi="Arial"/>
                <w:b w:val="0"/>
                <w:i w:val="0"/>
                <w:sz w:val="18"/>
              </w:rPr>
              <w:t>Disclosure</w:t>
            </w:r>
          </w:p>
        </w:tc>
        <w:tc>
          <w:tcPr>
            <w:tcW w:type="dxa" w:w="3288"/>
            <w:vAlign w:val="top"/>
          </w:tcPr>
          <w:p>
            <w:r>
              <w:rPr>
                <w:rFonts w:ascii="Arial" w:hAnsi="Arial"/>
                <w:b w:val="0"/>
                <w:i w:val="0"/>
                <w:sz w:val="18"/>
              </w:rPr>
              <w:t>Obtain the draft LFAR (Regulatory Compliance section — typically Part B, Para 6–10 of RBI LFAR format). (a) CRAR (Para 6): Cross-reference to WP-REG-01; confirm reported CRAR agrees to CRAR computation workpaper; confirm any near-breach disclosed; (b) CRR/SLR (Para 6): Cross-reference to WP-REG-02 (CRR) and WP-INV-04 (SLR); confirm any shortfalls or penalties disclosed; (c) PSL (Para 7): Cross-reference to WP-REG-03; confirm PSL achievement % and sub-target shortfalls (if any) are correctly disclosed; confirm RIDF/SEDF contribution treatment is disclosed; (d) KYC/AML (Para 8): Cross-reference to WP-REG-04; confirm number of CTR/STR filings consistent with registers; confirm periodic KYC backlog (if any) disclosed; (e) Fraud (Para 9): Cross-reference to WP-REG-06; confirm fraud amount, number of cases, and Section 143(12) status consistent; (f) Confirm LFAR format is RBI Revised 2021/2025 format; confirm responses are factually consistent across all regulatory workpapers (REG-01 through REG-08); (g) Confirm LFAR signed by all joint auditors (if applicable) per SA 299. Expected outcome: LFAR consistent with workpapers; format current; all material findings reflected. Exception protocol: Inconsistency with workpapers — revise LFAR; document revision log. Assertion: [COM, CLS, ACC]. Reference: SA 700, Para 10; SA 299, Para 8; SA 260, Para 12.</w:t>
            </w:r>
          </w:p>
        </w:tc>
        <w:tc>
          <w:tcPr>
            <w:tcW w:type="dxa" w:w="1417"/>
            <w:vAlign w:val="top"/>
          </w:tcPr>
          <w:p>
            <w:r>
              <w:rPr>
                <w:rFonts w:ascii="Arial" w:hAnsi="Arial"/>
                <w:b w:val="0"/>
                <w:i w:val="0"/>
                <w:sz w:val="18"/>
              </w:rPr>
              <w:t>SA 700, Para 10–15; SA 299, Para 8; SA 260, Para 12; SA 580, Para 10</w:t>
            </w:r>
          </w:p>
        </w:tc>
        <w:tc>
          <w:tcPr>
            <w:tcW w:type="dxa" w:w="1417"/>
            <w:vAlign w:val="top"/>
          </w:tcPr>
          <w:p>
            <w:r>
              <w:rPr>
                <w:rFonts w:ascii="Arial" w:hAnsi="Arial"/>
                <w:b w:val="0"/>
                <w:i w:val="0"/>
                <w:sz w:val="18"/>
              </w:rPr>
              <w:t>ICAI GN on Audit of Banks 2025 Chapter 12 — LFAR; RBI Master Circular on Long Form Audit Report (Revised); SA 299 — Responsibility of Joint Auditors</w:t>
            </w:r>
          </w:p>
        </w:tc>
        <w:tc>
          <w:tcPr>
            <w:tcW w:type="dxa" w:w="1417"/>
            <w:vAlign w:val="top"/>
          </w:tcPr>
          <w:p>
            <w:r>
              <w:rPr>
                <w:rFonts w:ascii="Arial" w:hAnsi="Arial"/>
                <w:b w:val="0"/>
                <w:i w:val="0"/>
                <w:sz w:val="18"/>
              </w:rPr>
              <w:t>ICAI Ch. 6 — 6.1 — Audit Report; Ch. 4 — 4.2 — Laws and Regulations</w:t>
            </w:r>
          </w:p>
        </w:tc>
        <w:tc>
          <w:tcPr>
            <w:tcW w:type="dxa" w:w="1417"/>
            <w:vAlign w:val="top"/>
          </w:tcPr>
          <w:p>
            <w:r>
              <w:rPr>
                <w:rFonts w:ascii="Arial" w:hAnsi="Arial"/>
                <w:b w:val="0"/>
                <w:i w:val="0"/>
                <w:sz w:val="18"/>
              </w:rPr>
              <w:t>Manual review</w:t>
            </w:r>
          </w:p>
        </w:tc>
        <w:tc>
          <w:tcPr>
            <w:tcW w:type="dxa" w:w="850"/>
            <w:vAlign w:val="top"/>
          </w:tcPr>
          <w:p>
            <w:r>
              <w:rPr>
                <w:rFonts w:ascii="Arial" w:hAnsi="Arial"/>
                <w:b w:val="0"/>
                <w:i w:val="0"/>
                <w:sz w:val="18"/>
              </w:rPr>
              <w:t>WP-REG-09</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bl>
    <w:sectPr w:rsidR="00FC693F" w:rsidRPr="0006063C" w:rsidSect="00034616">
      <w:headerReference w:type="default" r:id="rId9"/>
      <w:footerReference w:type="default" r:id="rId10"/>
      <w:pgSz w:w="16838" w:h="11906"/>
      <w:pgMar w:top="1134"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5102"/>
      <w:gridCol w:w="5102"/>
    </w:tblGrid>
    <w:tr>
      <w:tc>
        <w:tcPr>
          <w:tcW w:type="dxa" w:w="5102"/>
          <w:tcBorders>
            <w:top w:val="none"/>
            <w:left w:val="none"/>
            <w:bottom w:val="none"/>
            <w:right w:val="none"/>
          </w:tcBorders>
        </w:tcPr>
        <w:p>
          <w:r>
            <w:rPr>
              <w:rFonts w:ascii="Kunstler Script" w:hAnsi="Kunstler Script"/>
              <w:b/>
              <w:sz w:val="22"/>
            </w:rPr>
            <w:t>Varma &amp; Varma</w:t>
          </w:r>
        </w:p>
      </w:tc>
      <w:tc>
        <w:tcPr>
          <w:tcW w:type="dxa" w:w="5102"/>
          <w:tcBorders>
            <w:top w:val="none"/>
            <w:left w:val="none"/>
            <w:bottom w:val="none"/>
            <w:right w:val="none"/>
          </w:tcBorders>
        </w:tcPr>
        <w:p>
          <w:pPr>
            <w:jc w:val="right"/>
          </w:pPr>
          <w:r>
            <w:rPr>
              <w:rFonts w:ascii="Arial" w:hAnsi="Arial"/>
              <w:sz w:val="18"/>
            </w:rPr>
            <w:fldChar w:fldCharType="begin"/>
            <w:instrText>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5102"/>
      <w:gridCol w:w="5102"/>
    </w:tblGrid>
    <w:tr>
      <w:tc>
        <w:tcPr>
          <w:tcW w:type="dxa" w:w="5102"/>
          <w:tcBorders>
            <w:top w:val="none"/>
            <w:left w:val="none"/>
            <w:bottom w:val="none"/>
            <w:right w:val="none"/>
          </w:tcBorders>
        </w:tcPr>
        <w:p>
          <w:r>
            <w:rPr>
              <w:rFonts w:ascii="Arial" w:hAnsi="Arial"/>
              <w:b w:val="0"/>
              <w:i w:val="0"/>
              <w:sz w:val="18"/>
            </w:rPr>
            <w:t>[Client Name]</w:t>
          </w:r>
        </w:p>
      </w:tc>
      <w:tc>
        <w:tcPr>
          <w:tcW w:type="dxa" w:w="5102"/>
          <w:tcBorders>
            <w:top w:val="none"/>
            <w:left w:val="none"/>
            <w:bottom w:val="none"/>
            <w:right w:val="none"/>
          </w:tcBorders>
        </w:tcPr>
        <w:p>
          <w:pPr>
            <w:jc w:val="right"/>
          </w:pPr>
          <w:r>
            <w:rPr>
              <w:rFonts w:ascii="Arial" w:hAnsi="Arial"/>
              <w:b w:val="0"/>
              <w:i w:val="0"/>
              <w:sz w:val="18"/>
            </w:rPr>
            <w:t>Statutory Audit for the year ended [DD.MM.YYYY]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965526-5ACC-4CB3-BBAD-B29131E91CB1}"/>
</file>

<file path=customXml/itemProps3.xml><?xml version="1.0" encoding="utf-8"?>
<ds:datastoreItem xmlns:ds="http://schemas.openxmlformats.org/officeDocument/2006/customXml" ds:itemID="{7C78A6EF-1389-4F9B-860D-114511A8651F}"/>
</file>

<file path=customXml/itemProps4.xml><?xml version="1.0" encoding="utf-8"?>
<ds:datastoreItem xmlns:ds="http://schemas.openxmlformats.org/officeDocument/2006/customXml" ds:itemID="{1EE379FF-0C32-421D-91CB-E6412EE2D70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