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sz w:val="20"/>
        </w:rPr>
        <w:t>AUDIT PROGRAMME — DEPOSITS &amp; BORROWINGS (CASA / TERM / NRE / FCNR / INTERBANK)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BK.DEP.00  |  Framework: AS  |  ICAI GN on Audit of Banks (2025 Edition)</w:t>
      </w:r>
    </w:p>
    <w:p>
      <w:pPr>
        <w:jc w:val="center"/>
      </w:pPr>
      <w:r>
        <w:rPr>
          <w:rFonts w:ascii="Arial" w:hAnsi="Arial"/>
          <w:b w:val="0"/>
          <w:i/>
          <w:sz w:val="18"/>
        </w:rPr>
        <w:t>ICAI Reference: Nearest ICAI Ch. 3 — 3.15 / 3.12 — Trade Payables / Loans and Borrowings (adapted per ICAI GN on Audit of Banks 2025, Chapter 10)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680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Sr. No.</w:t>
            </w:r>
          </w:p>
        </w:tc>
        <w:tc>
          <w:tcPr>
            <w:tcW w:type="dxa" w:w="1417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Audit Area</w:t>
            </w:r>
          </w:p>
        </w:tc>
        <w:tc>
          <w:tcPr>
            <w:tcW w:type="dxa" w:w="1020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Assertions</w:t>
            </w:r>
          </w:p>
        </w:tc>
        <w:tc>
          <w:tcPr>
            <w:tcW w:type="dxa" w:w="1701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Risk Description</w:t>
            </w:r>
          </w:p>
        </w:tc>
        <w:tc>
          <w:tcPr>
            <w:tcW w:type="dxa" w:w="1247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Risk Level</w:t>
            </w:r>
          </w:p>
        </w:tc>
        <w:tc>
          <w:tcPr>
            <w:tcW w:type="dxa" w:w="1020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Proc. Type</w:t>
            </w:r>
          </w:p>
        </w:tc>
        <w:tc>
          <w:tcPr>
            <w:tcW w:type="dxa" w:w="3288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Detailed Procedure</w:t>
            </w:r>
          </w:p>
        </w:tc>
        <w:tc>
          <w:tcPr>
            <w:tcW w:type="dxa" w:w="1417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SA Reference</w:t>
            </w:r>
          </w:p>
        </w:tc>
        <w:tc>
          <w:tcPr>
            <w:tcW w:type="dxa" w:w="1417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AS Reference</w:t>
            </w:r>
          </w:p>
        </w:tc>
        <w:tc>
          <w:tcPr>
            <w:tcW w:type="dxa" w:w="1417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ICAI Template Ref</w:t>
            </w:r>
          </w:p>
        </w:tc>
        <w:tc>
          <w:tcPr>
            <w:tcW w:type="dxa" w:w="1417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Tool Reference</w:t>
            </w:r>
          </w:p>
        </w:tc>
        <w:tc>
          <w:tcPr>
            <w:tcW w:type="dxa" w:w="850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WP Ref</w:t>
            </w:r>
          </w:p>
        </w:tc>
        <w:tc>
          <w:tcPr>
            <w:tcW w:type="dxa" w:w="1134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Done By / Date</w:t>
            </w:r>
          </w:p>
        </w:tc>
        <w:tc>
          <w:tcPr>
            <w:tcW w:type="dxa" w:w="1134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Reviewed By / Date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DEP-001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Deposits — Lead Schedule &amp; GL Reconciliation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[EXI, COM, VAL]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deposit sub-ledger (CASA, term, NRE/NRO/FCNR(B)) does not reconcile to GL, or opening balances are misstated.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Medium (CBS-GL auto-match for deposits; residual risk from manual entries and forex revaluation for FCNR(B) — SA 510 Para 6).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deposit lead schedule as at year end by type (Savings, Current, Term, NRE/NRO/FCNR). Cast and cross-foot. Agree to GL. Agree opening balances to prior-year audited closing. For FCNR(B): confirm forex revaluation at year-end closing rate. Expected outcome: GL agrees; forex revaluation correct. Exception protocol: Differences — reconcile; forex rate error — recompute. Assertion: [EXI, COM, VAL]. Reference: SA 510, Para 6–9; AS 11, Para 8.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510, Para 6–9; SA 500, Para 7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AS 5, Para 6; AS 11, Para 8 (Foreign Currency)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Ch. 3 — 3.15 / 3.12 (adapted per ICAI GN on Audit of Banks 2025, Chapter 10)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procedure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WP-DEP-01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DEP-002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Deposits — Type Verification (CASA, Term, NRE/NRO/FCNR)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[CLS, EXI, ACC]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deposits are misclassified between types — e.g., NRE accounts without valid FEMA documentation, or term deposits with incorrect tenor classification — leading to incorrect interest rate application and regulatory non-compliance.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Medium (Classification is CBS-driven; risk from incorrect onboarding or FEMA documentation gaps for NRE/NRO accounts — ICAI GN on Audit of Banks 2025 Chapter 10).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For a sample of 20 deposits (5 per category: Savings, Term, NRE, FCNR): Inspect account opening form and KYC documentation; for NRE/NRO/FCNR — inspect RBI permission / FEMA documentation and customer's NRI status evidence; confirm deposit type in CBS matches the account opening document; confirm interest rate applied matches the bank's published rate card for the relevant tenor/type. Expected outcome: All 20 correctly classified; rates match rate card. Exception protocol: Misclassification — reclassify; interest recalculation if rate error. Assertion: [CLS, EXI, ACC]. Reference: SA 330, Para 18–25; SA 500, Para 9.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330, Para 18–25; SA 500, Para 9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FEMA 1999; RBI Master Direction on NRI Accounts; AS 11, Para 8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Ch. 3 — 3.15 (adapted per ICAI GN on Audit of Banks 2025, Chapter 10)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procedure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WP-DEP-02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DEP-003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Deposits — Inoperative &amp; Dormant Accounts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[EXI, COM, VAL]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inoperative/dormant accounts are not correctly identified and transferred to the RBI Depositor Education and Awareness Fund (DEAF) after 10 years of inoperativity, or that balances are used for fictitious entries.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Medium (Regulatory obligation under Banking Regulation Act Section 26A; DEAF transfer default attracts RBI penalty — ICAI GN on Audit of Banks 2025 Chapter 10).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the list of inoperative/dormant accounts from CBS. (a) Confirm accounts inactive for &gt;2 years are tagged 'inoperative' in CBS; (b) For accounts inactive for &gt;10 years: confirm DEAF transfer has been made or accounts have been activated by customer; trace sample of 10 DEAF transfers to RBI receipt acknowledgement; (c) Inspect controls preventing debit of inoperative accounts without branch manager override; test 5 instances of override for authorization. Expected outcome: All 10-year accounts transferred to DEAF; controls on inoperative accounts functioning. Exception protocol: Missed DEAF transfers — report; quantify penalty exposure. Assertion: [EXI, COM, VAL]. Reference: SA 330, Para 8–15; SA 250, Para 14.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330, Para 8–15; SA 250, Para 14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Banking Regulation Act 1949, Section 26A; RBI Circular on DEAF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Ch. 3 — 3.15 (adapted); Ch. 4 — 4.2 — Laws and Regulations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procedure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WP-DEP-03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DEP-004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Deposits — Interest Accrual &amp; Payout Verification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[ACC, VAL, CUT]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interest accrual on deposits is computed at incorrect rates or on incorrect balances, or that year-end interest payable is understated, leading to understated liabilities and overstated profit.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 (Interest accrual is material for banks; errors in system rate tables affect all deposits simultaneously — a systemic risk. SA 540 estimate risk — ICAI GN on Audit of Banks 2025 Chapter 10).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Step 1 — Rate verification: For a sample of 20 term deposits, recompute interest payable at year end using: principal × rate × days/365; compare to CBS accrual. Confirm rate matches bank's published rate card for the deposit date and tenor. [Tool: T-01 Data Sense Pro (datasense.varma.ai) — MUS sampling on term deposit interest accrual; recompute for sample above ₹[threshold]]. Step 2 — Savings/Current: Confirm daily balance method applied for savings interest (where applicable per bank policy). Step 3 — Cut-off: For deposits maturing within 7 days before and after year end, confirm interest accrual up to and including 31 March correctly captured. Expected outcome: Computed interest agrees to CBS accrual within ₹[performance materiality]. Exception protocol: Systematic rate error — expand to full population; quantify total under/over-accrual. Assertion: [ACC, VAL, CUT]. Reference: SA 540, Para 8–15; SA 330, Para 20.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540, Para 8–15; SA 330, Para 20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AS 9, Para 9 (Accrual); AS 29, Para 14 (Accrued Interest Payable)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Ch. 3 — 3.12 (adapted per ICAI GN on Audit of Banks 2025, Chapter 10)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[Tool: T-01 Data Sense Pro (datasense.varma.ai) — MUS sampling on term deposit interest accrual computation above ₹[threshold]]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WP-DEP-04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DEP-005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Deposits — LFAR &amp; Disclosure (Schedule III — Banking)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[COM, CLS, ACC]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deposit disclosures in Schedule 3 (Deposits) and Schedule 4 (Borrowings) are incomplete or do not disclose NRE/NRO/FCNR balances separately, or that LFAR Deposits section is inconsistent with workpaper findings.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Medium (Disclosure completeness — standard risk; specific format requirements under Banking Regulation Act Third Schedule).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Disclosure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Schedule 3 (Deposits) and Schedule 4 (Borrowings) from draft financial statements. Confirm sub-classifications: Schedule 3 — (i) Demand deposits; (ii) Savings deposits; (iii) Term deposits — sub-totalled by banks / others; foreign currency deposits (NRE/FCNR) disclosed separately. Agree sub-totals to CBS deposit register. For Schedule 4 — borrowings — confirm interbank borrowings, Tier-I/Tier-II bonds disclosed by type. Cross-reference LFAR Deposits section to WP-DEP-01 through WP-DEP-04. Expected outcome: Schedules complete; sub-totals agree; LFAR consistent. Exception protocol: Missing disclosure — add before sign-off. Assertion: [COM, CLS, ACC]. Reference: SA 700, Para 10–15.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700, Para 10–15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Banking Regulation Act 1949, Third Schedule (Schedules 3 &amp; 4); AS 11, Para 8; ICAI GN on Audit of Banks 2025, Chapter 12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Ch. 5 — 5.3 — Schedule III Checklist; Ch. 6 — 6.1 — Audit Report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procedure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WP-DEP-05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/>
      <w:pgMar w:top="1134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Kunstler Script" w:hAnsi="Kunstler Script"/>
              <w:b/>
              <w:sz w:val="22"/>
            </w:rPr>
            <w:t>Varma &amp; Varma</w:t>
          </w:r>
        </w:p>
      </w:tc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hAnsi="Arial"/>
              <w:sz w:val="18"/>
            </w:rPr>
            <w:fldChar w:fldCharType="begin"/>
            <w:instrText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Arial" w:hAnsi="Arial"/>
              <w:b w:val="0"/>
              <w:i w:val="0"/>
              <w:sz w:val="18"/>
            </w:rPr>
            <w:t>[Client Name]</w:t>
          </w:r>
        </w:p>
      </w:tc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hAnsi="Arial"/>
              <w:b w:val="0"/>
              <w:i w:val="0"/>
              <w:sz w:val="18"/>
            </w:rPr>
            <w:t>Statutory Audit for the year ended [DD.MM.YYYY]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E7910557F1DE4C91A691C09C7EA83D" ma:contentTypeVersion="4" ma:contentTypeDescription="Create a new document." ma:contentTypeScope="" ma:versionID="8b73a0bc7003658bab3f23da5945ddcb">
  <xsd:schema xmlns:xsd="http://www.w3.org/2001/XMLSchema" xmlns:xs="http://www.w3.org/2001/XMLSchema" xmlns:p="http://schemas.microsoft.com/office/2006/metadata/properties" xmlns:ns2="03f3f4d6-3d69-4648-a89a-6f8e492ac738" targetNamespace="http://schemas.microsoft.com/office/2006/metadata/properties" ma:root="true" ma:fieldsID="b054d4809f6fdc5a8fe18ec980977459" ns2:_="">
    <xsd:import namespace="03f3f4d6-3d69-4648-a89a-6f8e492ac7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f3f4d6-3d69-4648-a89a-6f8e492ac7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C283690-D8D5-4826-B814-C8C03C404AC8}"/>
</file>

<file path=customXml/itemProps3.xml><?xml version="1.0" encoding="utf-8"?>
<ds:datastoreItem xmlns:ds="http://schemas.openxmlformats.org/officeDocument/2006/customXml" ds:itemID="{95B92BAB-E429-4AF4-BF62-AF475D0252F3}"/>
</file>

<file path=customXml/itemProps4.xml><?xml version="1.0" encoding="utf-8"?>
<ds:datastoreItem xmlns:ds="http://schemas.openxmlformats.org/officeDocument/2006/customXml" ds:itemID="{725D0BAC-42DB-4B28-90CA-104B188FAE8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0x01010005E7910557F1DE4C91A691C09C7EA83D</vt:lpwstr>
  </property>
</Properties>
</file>