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INVESTMENTS (HTM / AFS / HFT PORTFOLIO — BANKING COMPANIES)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BK.INV.00  |  Framework: AS  |  Governing: ICAI GN on Audit of Banks (2025 Edition); RBI Master Directions; Banking Regulation Act 1949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Ch. 3 — 3.6 — Investments | Adapted per ICAI GN on Audit of Banks (2025 Edition), Chapter 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Reference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Lead Schedule &amp; GL Reconciliation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COM,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the investments lead schedule does not reconcile to the GL, categories (HTM/AFS/HFT) are not totalled separately, or opening balances differ from prior-year audit.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 (Routine reconciliation; CBS-GL auto-match for treasury; residual risk from manual adjustments — SA 510 Para 6).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investments lead schedule (HTM/AFS/HFT by scrip) as at year end. Cast all columns and cross-foot. Agree category-wise totals to GL trial balance (investment GL codes). Agree opening balances to prior-year audited closing. Expected outcome: Agrees within ₹0. Exception protocol: Reconcile with Treasury/F&amp;A; do not proceed until resolved. Assertion: [EXI, COM, VAL]. Reference: SA 510, Para 6–9; SA 500, Para 7; AS 5, Para 6.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510, Para 6–9; SA 500, Para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 5, Para 6; AS 13, Para 8 (Investments Classification)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3.6 — Investments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HTM/AFS/HFT Classification &amp; Transfer Policy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[CLS, ACC, OCC]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securities are incorrectly classified between HTM, AFS, and HFT categories, or that mid-year transfers between categories violate RBI restrictions, leading to incorrect valuation treatment.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 (ICAI GN on Audit of Banks 2025 Chapter 8 identifies investment classification as a high-risk area; HTM misclassification avoids MTM losses — management bias risk per SA 540).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 a sample of 20 securities (across categories, by value): (a) Inspect the classification decision in the Investment Committee minutes at acquisition; (b) Confirm the classification is consistent with the bank's Board-approved Investment Policy; (c) For any mid-year transfers between categories: confirm they were made only in the permitted transfer window (beginning of year or special RBI permission) and approved by the Investment Committee. Expected outcome: All sampled securities correctly classified per policy; no unauthorized mid-year transfers. Exception protocol: Misclassified securities — reclassify; recompute valuation impact. Assertion: [CLS, ACC, OCC]. Reference: SA 330, Para 18–25; SA 540, Para 8–15.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330, Para 18–25; SA 540, Para 8–15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Circular on Investment Portfolio (July 2023 — LOR Framework); ICAI GN on Audit of Banks 2025, Chapter 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3.6 — Investments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MTM Valuation (AFS &amp; HFT Portfolio)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AFS and HFT securities are not marked-to-market at RBI-prescribed intervals (at least quarterly) using RBI/FIMMDA benchmark prices, leading to understated depreciation and overstated investment values.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 (MTM valuation is a complex estimate per SA 540; management bias towards minimizing MTM losses is a known risk — ICAI GN on Audit of Banks 2025 Chapter 8).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MTM valuation schedule for AFS and HFT portfolios as at year end. For a sample of 15 securities (by value — include equities, G-Secs, SDLs, bonds): (a) Obtain the closing price/yield from FIMMDA (for bonds/G-Secs) or BSE/NSE closing prices (for equities) as at 31 March; (b) Recompute the market value using the correct pricing methodology (YTM for bonds, closing price for equities, NAV for MF units); (c) Compare recomputed value to management's MTM schedule; (d) Confirm the bank has booked the net depreciation (not netted with appreciation) in the P&amp;L for AFS per RBI circular. Expected outcome: MTM values agree to FIMMDA/market prices; net depreciation correctly recognized. Exception protocol: Any understatement of depreciation — propose adjustment; report in LFAR. Assertion: [VAL, ACC]. Reference: SA 540, Para 8–15; SA 330, Para 20.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8–15; SA 330, Para 20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Circular on Investment Portfolio — Valuation of Investments (July 2023); ICAI GN on Audit of Banks 2025, Chapter 8; AS 13, Para 31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3.6 — Investments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Recompute MTM values for AFS/HFT portfolio; variance analysis vs management's MTM schedule]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SLR Compliance Verification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COM,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the bank's Statutory Liquidity Ratio (SLR) holding in approved securities does not meet the RBI-prescribed minimum, or that non-SLR securities are included in the SLR computation, leading to regulatory non-compliance.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 (SLR compliance is rule-based; risk is primarily in the correct identification of SLR-eligible securities and NDTL computation — ICAI GN on Audit of Banks 2025 Chapter 8).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SLR computation as at year end. (a) Confirm NDTL (Net Demand and Time Liabilities) figure used agrees to the CBS NDTL report; (b) Recompute minimum SLR requirement (18% of NDTL as at current RBI rate); (c) Verify SLR-eligible securities held: inspect the list of approved securities (Central Govt securities, RBI approved State Govt securities, approved securities per RBI); confirm securities on the list are in the HTM / AFS / HFT portfolio; (d) Agree the SLR return submitted to RBI (Form VIII) to the CBS investment register. Expected outcome: SLR holding meets or exceeds minimum requirement; all included securities are RBI-approved; Form VIII agrees to CBS. Exception protocol: SLR shortfall — immediately report to engagement partner; significant regulatory risk. Assertion: [EXI, COM, ACC]. Reference: SA 330, Para 18–25; SA 250, Para 14.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330, Para 18–25;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Banking Regulation Act 1949, Section 24; RBI Master Circular on SLR; ICAI GN on Audit of Banks 2025, Chapter 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3.6 — Investments; Ch. 4 — 4.2 — Laws and Regulations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Depreciation / Amortisation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depreciation on HTM securities (premium amortisation) or the net depreciation charge on AFS/HFT is incorrectly computed or not recognized in P&amp;L, overstating investment income and understating provisions.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 (Computation is largely mechanical but errors in yield to maturity or acquisition cost can affect amortisation — SA 540 estimate risk is moderate).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 a sample of 10 HTM securities: (a) Recompute the amortisation of acquisition premium/discount over remaining life using the straight-line or effective interest method as per bank policy; (b) Agree the amortisation amount to the P&amp;L charge for the year. For AFS portfolio: Confirm net depreciation (sum of individual security depreciation, not netted against appreciation) is recognized in P&amp;L per RBI Master Circular. For HFT: Confirm entire MTM movement is recognized in P&amp;L. Expected outcome: Amortisation correctly computed; net depreciation recognized per RBI norms. Exception protocol: Any shortfall — propose adjustment. Assertion: [VAL, ACC]. Reference: SA 540, Para 8–15; SA 520, Para 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8–15; SA 520, Para 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Circular on Investment Portfolio — Depreciation on Investments; AS 13, Para 31; ICAI GN on Audit of Banks 2025, Chapter 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3.6 — Investments; Ch. 3 — 3.5 — Depreciation and Amortization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Recompute HTM amortisation for sample securities; variance vs management schedule]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Disclosure &amp; LFAR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CLS,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investment disclosures in the financial statements (Schedule 8 — Investments) are incomplete, incorrectly classified by category/issuer type, or inconsistent with the LFAR Investments section.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 (Disclosure completeness — standard risk; Banking Companies Schedule III has specific format — ICAI GN on Audit of Banks 2025 Appendix).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Disclosure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Schedule 8 (Investments) in draft financial statements. (a) Confirm all required sub-classifications present: (i) Government Securities; (ii) Other approved securities; (iii) Shares; (iv) Debentures and Bonds; (v) Subsidiaries/JVs; (vi) Others; (b) Agree each sub-total to the CBS investment register; (c) Confirm HTM/AFS/HFT total disclosed in notes agrees to lead schedule; (d) Agree LFAR Investments section responses to workpaper findings (WP-INV-01 to WP-INV-05). Confirm SLR compliance status in LFAR consistent with WP-INV-04. Expected outcome: Schedule 8 complete; sub-totals agree to CBS; LFAR consistent with workpapers. Exception protocol: Discrepancies to be corrected before LFAR submission. Assertion: [COM, CLS, ACC]. Reference: SA 700, Para 10–15.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700, Para 10–15; SA 260, Para 12–15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Banking Regulation Act 1949, Third Schedule (Form A — Schedule 8); ICAI GN on Audit of Banks 2025, Chapter 12 and Chapter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5 — 5.3 — Schedule III Checklist; Ch. 6 — 6.1 — Audit Report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358B42-BE0C-45EB-8AFB-072EC2F416FC}"/>
</file>

<file path=customXml/itemProps3.xml><?xml version="1.0" encoding="utf-8"?>
<ds:datastoreItem xmlns:ds="http://schemas.openxmlformats.org/officeDocument/2006/customXml" ds:itemID="{CE356E5C-2731-4EF0-BA84-B23976EBE40E}"/>
</file>

<file path=customXml/itemProps4.xml><?xml version="1.0" encoding="utf-8"?>
<ds:datastoreItem xmlns:ds="http://schemas.openxmlformats.org/officeDocument/2006/customXml" ds:itemID="{485EE034-03DE-4EAC-897D-EE4930A5E8E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