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8"/>
        </w:rPr>
        <w:t>LONG FORM AUDIT REPORT (LFAR)</w:t>
      </w:r>
    </w:p>
    <w:p>
      <w:pPr>
        <w:spacing w:before="80" w:after="80"/>
        <w:jc w:val="center"/>
      </w:pPr>
      <w:r>
        <w:rPr>
          <w:rFonts w:ascii="Arial" w:hAnsi="Arial"/>
          <w:b w:val="0"/>
          <w:i/>
          <w:sz w:val="22"/>
        </w:rPr>
        <w:t>Statutory Audit for the Financial Year Ended 31st March 20XX</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Bank]</w:t>
      </w:r>
    </w:p>
    <w:p>
      <w:pPr>
        <w:spacing w:before="80" w:after="80"/>
        <w:jc w:val="left"/>
      </w:pPr>
      <w:r>
        <w:rPr>
          <w:rFonts w:ascii="Arial" w:hAnsi="Arial"/>
          <w:b w:val="0"/>
          <w:i w:val="0"/>
          <w:sz w:val="20"/>
        </w:rPr>
        <w:t>[Registered Office Address]</w:t>
      </w:r>
    </w:p>
    <w:p/>
    <w:p>
      <w:pPr>
        <w:spacing w:before="80" w:after="80"/>
        <w:jc w:val="left"/>
      </w:pPr>
      <w:r>
        <w:rPr>
          <w:rFonts w:ascii="Arial" w:hAnsi="Arial"/>
          <w:b w:val="0"/>
          <w:i w:val="0"/>
          <w:sz w:val="20"/>
        </w:rPr>
        <w:t>Dear Sir / Madam,</w:t>
      </w:r>
    </w:p>
    <w:p/>
    <w:p>
      <w:pPr>
        <w:spacing w:before="80" w:after="80"/>
        <w:jc w:val="left"/>
      </w:pPr>
      <w:r>
        <w:rPr>
          <w:rFonts w:ascii="Arial" w:hAnsi="Arial"/>
          <w:b w:val="0"/>
          <w:i w:val="0"/>
          <w:sz w:val="20"/>
        </w:rPr>
        <w:t>We have conducted the statutory audit of the financial statements of [Name of the Bank] (hereinafter 'the Bank') for the financial year ended 31st March 20XX, in accordance with the Standards on Auditing issued by the Institute of Chartered Accountants of India (ICAI). As required by the Reserve Bank of India's Master Circular on Statutory Branch Audit / Central Office Audit, we furnish hereunder the Long Form Audit Report (LFAR) containing our observations and comments on various aspects of the Bank's affairs.</w:t>
      </w:r>
    </w:p>
    <w:p/>
    <w:p>
      <w:pPr>
        <w:spacing w:before="160" w:after="80"/>
      </w:pPr>
      <w:r>
        <w:rPr>
          <w:rFonts w:ascii="Arial" w:hAnsi="Arial"/>
          <w:b/>
          <w:i w:val="0"/>
          <w:sz w:val="26"/>
        </w:rPr>
        <w:t>SECTION A — CAPITAL, RESERVES &amp; SURPLUS</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Share Capital</w:t>
            </w:r>
          </w:p>
        </w:tc>
        <w:tc>
          <w:tcPr>
            <w:tcW w:type="dxa" w:w="6236"/>
            <w:vAlign w:val="top"/>
          </w:tcPr>
          <w:p>
            <w:pPr>
              <w:jc w:val="left"/>
            </w:pPr>
            <w:r>
              <w:rPr>
                <w:rFonts w:ascii="Arial" w:hAnsi="Arial"/>
                <w:b w:val="0"/>
                <w:i w:val="0"/>
                <w:sz w:val="18"/>
              </w:rPr>
              <w:t>The subscribed and paid-up share capital as at 31st March 20XX stands at ₹[XX] crore. We have verified the capital schedule against the Register of Members maintained under the Companies Act, 2013. [No adverse observations / Observations as noted below.]</w:t>
            </w:r>
          </w:p>
        </w:tc>
        <w:tc>
          <w:tcPr>
            <w:tcW w:type="dxa" w:w="1701"/>
            <w:vAlign w:val="top"/>
          </w:tcPr>
          <w:p>
            <w:pPr>
              <w:jc w:val="left"/>
            </w:pPr>
            <w:r>
              <w:rPr>
                <w:rFonts w:ascii="Arial" w:hAnsi="Arial"/>
                <w:b w:val="0"/>
                <w:i w:val="0"/>
                <w:sz w:val="18"/>
              </w:rPr>
              <w:t>Satisfactory / Qualified</w:t>
            </w:r>
          </w:p>
        </w:tc>
      </w:tr>
      <w:tr>
        <w:tc>
          <w:tcPr>
            <w:tcW w:type="dxa" w:w="3402"/>
            <w:vAlign w:val="top"/>
            <w:shd w:val="clear" w:color="auto" w:fill="EBF3FB"/>
          </w:tcPr>
          <w:p>
            <w:pPr>
              <w:jc w:val="left"/>
            </w:pPr>
            <w:r>
              <w:rPr>
                <w:rFonts w:ascii="Arial" w:hAnsi="Arial"/>
                <w:b w:val="0"/>
                <w:i w:val="0"/>
                <w:sz w:val="18"/>
              </w:rPr>
              <w:t>Statutory Reserve (Sec. 17, BRA)</w:t>
            </w:r>
          </w:p>
        </w:tc>
        <w:tc>
          <w:tcPr>
            <w:tcW w:type="dxa" w:w="6236"/>
            <w:vAlign w:val="top"/>
            <w:shd w:val="clear" w:color="auto" w:fill="EBF3FB"/>
          </w:tcPr>
          <w:p>
            <w:pPr>
              <w:jc w:val="left"/>
            </w:pPr>
            <w:r>
              <w:rPr>
                <w:rFonts w:ascii="Arial" w:hAnsi="Arial"/>
                <w:b w:val="0"/>
                <w:i w:val="0"/>
                <w:sz w:val="18"/>
              </w:rPr>
              <w:t>Transfer of 20% of net profits to Statutory Reserve as required under Section 17 of the Banking Regulation Act, 1949 has been [verified and found compliant / not complied with — details below].</w:t>
            </w:r>
          </w:p>
        </w:tc>
        <w:tc>
          <w:tcPr>
            <w:tcW w:type="dxa" w:w="1701"/>
            <w:vAlign w:val="top"/>
            <w:shd w:val="clear" w:color="auto" w:fill="EBF3FB"/>
          </w:tcPr>
          <w:p>
            <w:pPr>
              <w:jc w:val="left"/>
            </w:pPr>
            <w:r>
              <w:rPr>
                <w:rFonts w:ascii="Arial" w:hAnsi="Arial"/>
                <w:b w:val="0"/>
                <w:i w:val="0"/>
                <w:sz w:val="18"/>
              </w:rPr>
              <w:t>Compliant / Non-compliant</w:t>
            </w:r>
          </w:p>
        </w:tc>
      </w:tr>
      <w:tr>
        <w:tc>
          <w:tcPr>
            <w:tcW w:type="dxa" w:w="3402"/>
            <w:vAlign w:val="top"/>
          </w:tcPr>
          <w:p>
            <w:pPr>
              <w:jc w:val="left"/>
            </w:pPr>
            <w:r>
              <w:rPr>
                <w:rFonts w:ascii="Arial" w:hAnsi="Arial"/>
                <w:b w:val="0"/>
                <w:i w:val="0"/>
                <w:sz w:val="18"/>
              </w:rPr>
              <w:t>Capital Reserve</w:t>
            </w:r>
          </w:p>
        </w:tc>
        <w:tc>
          <w:tcPr>
            <w:tcW w:type="dxa" w:w="6236"/>
            <w:vAlign w:val="top"/>
          </w:tcPr>
          <w:p>
            <w:pPr>
              <w:jc w:val="left"/>
            </w:pPr>
            <w:r>
              <w:rPr>
                <w:rFonts w:ascii="Arial" w:hAnsi="Arial"/>
                <w:b w:val="0"/>
                <w:i w:val="0"/>
                <w:sz w:val="18"/>
              </w:rPr>
              <w:t>Reviewed composition of Capital Reserve account. All transfers are in accordance with applicable guidance.</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Investment Fluctuation Reserve (IFR)</w:t>
            </w:r>
          </w:p>
        </w:tc>
        <w:tc>
          <w:tcPr>
            <w:tcW w:type="dxa" w:w="6236"/>
            <w:vAlign w:val="top"/>
            <w:shd w:val="clear" w:color="auto" w:fill="EBF3FB"/>
          </w:tcPr>
          <w:p>
            <w:pPr>
              <w:jc w:val="left"/>
            </w:pPr>
            <w:r>
              <w:rPr>
                <w:rFonts w:ascii="Arial" w:hAnsi="Arial"/>
                <w:b w:val="0"/>
                <w:i w:val="0"/>
                <w:sz w:val="18"/>
              </w:rPr>
              <w:t>The Bank [has maintained / has not maintained] the required IFR of 2% of HFT + AFS portfolio in accordance with RBI circular dated [date]. [Observations if any.]</w:t>
            </w:r>
          </w:p>
        </w:tc>
        <w:tc>
          <w:tcPr>
            <w:tcW w:type="dxa" w:w="1701"/>
            <w:vAlign w:val="top"/>
            <w:shd w:val="clear" w:color="auto" w:fill="EBF3FB"/>
          </w:tcPr>
          <w:p>
            <w:pPr>
              <w:jc w:val="left"/>
            </w:pPr>
            <w:r>
              <w:rPr>
                <w:rFonts w:ascii="Arial" w:hAnsi="Arial"/>
                <w:b w:val="0"/>
                <w:i w:val="0"/>
                <w:sz w:val="18"/>
              </w:rPr>
              <w:t>Compliant / Non-compliant</w:t>
            </w:r>
          </w:p>
        </w:tc>
      </w:tr>
      <w:tr>
        <w:tc>
          <w:tcPr>
            <w:tcW w:type="dxa" w:w="3402"/>
            <w:vAlign w:val="top"/>
          </w:tcPr>
          <w:p>
            <w:pPr>
              <w:jc w:val="left"/>
            </w:pPr>
            <w:r>
              <w:rPr>
                <w:rFonts w:ascii="Arial" w:hAnsi="Arial"/>
                <w:b w:val="0"/>
                <w:i w:val="0"/>
                <w:sz w:val="18"/>
              </w:rPr>
              <w:t>Retained Earnings / P&amp;L</w:t>
            </w:r>
          </w:p>
        </w:tc>
        <w:tc>
          <w:tcPr>
            <w:tcW w:type="dxa" w:w="6236"/>
            <w:vAlign w:val="top"/>
          </w:tcPr>
          <w:p>
            <w:pPr>
              <w:jc w:val="left"/>
            </w:pPr>
            <w:r>
              <w:rPr>
                <w:rFonts w:ascii="Arial" w:hAnsi="Arial"/>
                <w:b w:val="0"/>
                <w:i w:val="0"/>
                <w:sz w:val="18"/>
              </w:rPr>
              <w:t>The appropriation of profits and declaration of dividend (if any) has been approved by the Board and [complies / does not comply] with RBI guidelines on dividend distribution.</w:t>
            </w:r>
          </w:p>
        </w:tc>
        <w:tc>
          <w:tcPr>
            <w:tcW w:type="dxa" w:w="1701"/>
            <w:vAlign w:val="top"/>
          </w:tcPr>
          <w:p>
            <w:pPr>
              <w:jc w:val="left"/>
            </w:pPr>
            <w:r>
              <w:rPr>
                <w:rFonts w:ascii="Arial" w:hAnsi="Arial"/>
                <w:b w:val="0"/>
                <w:i w:val="0"/>
                <w:sz w:val="18"/>
              </w:rPr>
              <w:t>Satisfactory</w:t>
            </w:r>
          </w:p>
        </w:tc>
      </w:tr>
    </w:tbl>
    <w:p/>
    <w:p>
      <w:pPr>
        <w:spacing w:before="160" w:after="80"/>
      </w:pPr>
      <w:r>
        <w:rPr>
          <w:rFonts w:ascii="Arial" w:hAnsi="Arial"/>
          <w:b/>
          <w:i w:val="0"/>
          <w:sz w:val="26"/>
        </w:rPr>
        <w:t>SECTION B — DEPOSITS</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Deposit Classification</w:t>
            </w:r>
          </w:p>
        </w:tc>
        <w:tc>
          <w:tcPr>
            <w:tcW w:type="dxa" w:w="6236"/>
            <w:vAlign w:val="top"/>
          </w:tcPr>
          <w:p>
            <w:pPr>
              <w:jc w:val="left"/>
            </w:pPr>
            <w:r>
              <w:rPr>
                <w:rFonts w:ascii="Arial" w:hAnsi="Arial"/>
                <w:b w:val="0"/>
                <w:i w:val="0"/>
                <w:sz w:val="18"/>
              </w:rPr>
              <w:t>Demand deposits, savings deposits, and term deposits have been correctly classified and disclosed in Schedule 3 of the financial statements.</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Interest Accrual on Deposits</w:t>
            </w:r>
          </w:p>
        </w:tc>
        <w:tc>
          <w:tcPr>
            <w:tcW w:type="dxa" w:w="6236"/>
            <w:vAlign w:val="top"/>
            <w:shd w:val="clear" w:color="auto" w:fill="EBF3FB"/>
          </w:tcPr>
          <w:p>
            <w:pPr>
              <w:jc w:val="left"/>
            </w:pPr>
            <w:r>
              <w:rPr>
                <w:rFonts w:ascii="Arial" w:hAnsi="Arial"/>
                <w:b w:val="0"/>
                <w:i w:val="0"/>
                <w:sz w:val="18"/>
              </w:rPr>
              <w:t>Interest payable on deposits has been computed based on contracted rates and accrued up to the balance sheet date. We have tested a sample of [XX] accounts for accuracy of interest computation. [No exceptions / Exceptions noted — refer findings].</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Inoperative / Unclaimed Deposits</w:t>
            </w:r>
          </w:p>
        </w:tc>
        <w:tc>
          <w:tcPr>
            <w:tcW w:type="dxa" w:w="6236"/>
            <w:vAlign w:val="top"/>
          </w:tcPr>
          <w:p>
            <w:pPr>
              <w:jc w:val="left"/>
            </w:pPr>
            <w:r>
              <w:rPr>
                <w:rFonts w:ascii="Arial" w:hAnsi="Arial"/>
                <w:b w:val="0"/>
                <w:i w:val="0"/>
                <w:sz w:val="18"/>
              </w:rPr>
              <w:t>The Bank has identified and reported inoperative accounts and deposits unclaimed for 10 years to DICGC/RBI in accordance with Section 26A of the Banking Regulation Act and RBI circular on Depositor Education and Awareness (DEA) Fund Scheme, 2014.</w:t>
            </w:r>
          </w:p>
        </w:tc>
        <w:tc>
          <w:tcPr>
            <w:tcW w:type="dxa" w:w="1701"/>
            <w:vAlign w:val="top"/>
          </w:tcPr>
          <w:p>
            <w:pPr>
              <w:jc w:val="left"/>
            </w:pPr>
            <w:r>
              <w:rPr>
                <w:rFonts w:ascii="Arial" w:hAnsi="Arial"/>
                <w:b w:val="0"/>
                <w:i w:val="0"/>
                <w:sz w:val="18"/>
              </w:rPr>
              <w:t>Compliant</w:t>
            </w:r>
          </w:p>
        </w:tc>
      </w:tr>
      <w:tr>
        <w:tc>
          <w:tcPr>
            <w:tcW w:type="dxa" w:w="3402"/>
            <w:vAlign w:val="top"/>
            <w:shd w:val="clear" w:color="auto" w:fill="EBF3FB"/>
          </w:tcPr>
          <w:p>
            <w:pPr>
              <w:jc w:val="left"/>
            </w:pPr>
            <w:r>
              <w:rPr>
                <w:rFonts w:ascii="Arial" w:hAnsi="Arial"/>
                <w:b w:val="0"/>
                <w:i w:val="0"/>
                <w:sz w:val="18"/>
              </w:rPr>
              <w:t>Deposit Rate Board Approval</w:t>
            </w:r>
          </w:p>
        </w:tc>
        <w:tc>
          <w:tcPr>
            <w:tcW w:type="dxa" w:w="6236"/>
            <w:vAlign w:val="top"/>
            <w:shd w:val="clear" w:color="auto" w:fill="EBF3FB"/>
          </w:tcPr>
          <w:p>
            <w:pPr>
              <w:jc w:val="left"/>
            </w:pPr>
            <w:r>
              <w:rPr>
                <w:rFonts w:ascii="Arial" w:hAnsi="Arial"/>
                <w:b w:val="0"/>
                <w:i w:val="0"/>
                <w:sz w:val="18"/>
              </w:rPr>
              <w:t>Deposit interest rates in force during the year have been verified to Board-approved rate circulars. No instance of rates exceeding approved limits was noted.</w:t>
            </w:r>
          </w:p>
        </w:tc>
        <w:tc>
          <w:tcPr>
            <w:tcW w:type="dxa" w:w="1701"/>
            <w:vAlign w:val="top"/>
            <w:shd w:val="clear" w:color="auto" w:fill="EBF3FB"/>
          </w:tcPr>
          <w:p>
            <w:pPr>
              <w:jc w:val="left"/>
            </w:pPr>
            <w:r>
              <w:rPr>
                <w:rFonts w:ascii="Arial" w:hAnsi="Arial"/>
                <w:b w:val="0"/>
                <w:i w:val="0"/>
                <w:sz w:val="18"/>
              </w:rPr>
              <w:t>Satisfactory</w:t>
            </w:r>
          </w:p>
        </w:tc>
      </w:tr>
    </w:tbl>
    <w:p/>
    <w:p>
      <w:pPr>
        <w:spacing w:before="160" w:after="80"/>
      </w:pPr>
      <w:r>
        <w:rPr>
          <w:rFonts w:ascii="Arial" w:hAnsi="Arial"/>
          <w:b/>
          <w:i w:val="0"/>
          <w:sz w:val="26"/>
        </w:rPr>
        <w:t>SECTION C — ADVANCES</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NPA Classification — Accuracy</w:t>
            </w:r>
          </w:p>
        </w:tc>
        <w:tc>
          <w:tcPr>
            <w:tcW w:type="dxa" w:w="6236"/>
            <w:vAlign w:val="top"/>
          </w:tcPr>
          <w:p>
            <w:pPr>
              <w:jc w:val="left"/>
            </w:pPr>
            <w:r>
              <w:rPr>
                <w:rFonts w:ascii="Arial" w:hAnsi="Arial"/>
                <w:b w:val="0"/>
                <w:i w:val="0"/>
                <w:sz w:val="18"/>
              </w:rPr>
              <w:t>We have tested a sample of [XX] loan accounts to verify correctness of NPA classification as per RBI Master Circular on Income Recognition, Asset Classification and Provisioning (IRACP), 2015, as updated. [No exceptions / Exceptions noted: XX accounts aggregating ₹XX lakh appear to have been mis-classified.]</w:t>
            </w:r>
          </w:p>
        </w:tc>
        <w:tc>
          <w:tcPr>
            <w:tcW w:type="dxa" w:w="1701"/>
            <w:vAlign w:val="top"/>
          </w:tcPr>
          <w:p>
            <w:pPr>
              <w:jc w:val="left"/>
            </w:pPr>
            <w:r>
              <w:rPr>
                <w:rFonts w:ascii="Arial" w:hAnsi="Arial"/>
                <w:b w:val="0"/>
                <w:i w:val="0"/>
                <w:sz w:val="18"/>
              </w:rPr>
              <w:t>Satisfactory / Qualified</w:t>
            </w:r>
          </w:p>
        </w:tc>
      </w:tr>
      <w:tr>
        <w:tc>
          <w:tcPr>
            <w:tcW w:type="dxa" w:w="3402"/>
            <w:vAlign w:val="top"/>
            <w:shd w:val="clear" w:color="auto" w:fill="EBF3FB"/>
          </w:tcPr>
          <w:p>
            <w:pPr>
              <w:jc w:val="left"/>
            </w:pPr>
            <w:r>
              <w:rPr>
                <w:rFonts w:ascii="Arial" w:hAnsi="Arial"/>
                <w:b w:val="0"/>
                <w:i w:val="0"/>
                <w:sz w:val="18"/>
              </w:rPr>
              <w:t>Provisioning — Adequacy</w:t>
            </w:r>
          </w:p>
        </w:tc>
        <w:tc>
          <w:tcPr>
            <w:tcW w:type="dxa" w:w="6236"/>
            <w:vAlign w:val="top"/>
            <w:shd w:val="clear" w:color="auto" w:fill="EBF3FB"/>
          </w:tcPr>
          <w:p>
            <w:pPr>
              <w:jc w:val="left"/>
            </w:pPr>
            <w:r>
              <w:rPr>
                <w:rFonts w:ascii="Arial" w:hAnsi="Arial"/>
                <w:b w:val="0"/>
                <w:i w:val="0"/>
                <w:sz w:val="18"/>
              </w:rPr>
              <w:t>The provision for non-performing assets (Sub-Standard, Doubtful, and Loss categories) and standard assets has been computed per IRACP norms. The provision as at 31st March 20XX aggregates ₹[XX] crore. We are [satisfied / not satisfied] with the adequacy of provisions.</w:t>
            </w:r>
          </w:p>
        </w:tc>
        <w:tc>
          <w:tcPr>
            <w:tcW w:type="dxa" w:w="1701"/>
            <w:vAlign w:val="top"/>
            <w:shd w:val="clear" w:color="auto" w:fill="EBF3FB"/>
          </w:tcPr>
          <w:p>
            <w:pPr>
              <w:jc w:val="left"/>
            </w:pPr>
            <w:r>
              <w:rPr>
                <w:rFonts w:ascii="Arial" w:hAnsi="Arial"/>
                <w:b w:val="0"/>
                <w:i w:val="0"/>
                <w:sz w:val="18"/>
              </w:rPr>
              <w:t>Satisfactory / Qualified</w:t>
            </w:r>
          </w:p>
        </w:tc>
      </w:tr>
      <w:tr>
        <w:tc>
          <w:tcPr>
            <w:tcW w:type="dxa" w:w="3402"/>
            <w:vAlign w:val="top"/>
          </w:tcPr>
          <w:p>
            <w:pPr>
              <w:jc w:val="left"/>
            </w:pPr>
            <w:r>
              <w:rPr>
                <w:rFonts w:ascii="Arial" w:hAnsi="Arial"/>
                <w:b w:val="0"/>
                <w:i w:val="0"/>
                <w:sz w:val="18"/>
              </w:rPr>
              <w:t>Restructured Accounts</w:t>
            </w:r>
          </w:p>
        </w:tc>
        <w:tc>
          <w:tcPr>
            <w:tcW w:type="dxa" w:w="6236"/>
            <w:vAlign w:val="top"/>
          </w:tcPr>
          <w:p>
            <w:pPr>
              <w:jc w:val="left"/>
            </w:pPr>
            <w:r>
              <w:rPr>
                <w:rFonts w:ascii="Arial" w:hAnsi="Arial"/>
                <w:b w:val="0"/>
                <w:i w:val="0"/>
                <w:sz w:val="18"/>
              </w:rPr>
              <w:t>Restructured accounts have been identified and classified / provisioned in accordance with RBI directions. Disclosures in the Notes to Accounts are [adequate / inadequate].</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ECLGS / Government Guarantee Schemes</w:t>
            </w:r>
          </w:p>
        </w:tc>
        <w:tc>
          <w:tcPr>
            <w:tcW w:type="dxa" w:w="6236"/>
            <w:vAlign w:val="top"/>
            <w:shd w:val="clear" w:color="auto" w:fill="EBF3FB"/>
          </w:tcPr>
          <w:p>
            <w:pPr>
              <w:jc w:val="left"/>
            </w:pPr>
            <w:r>
              <w:rPr>
                <w:rFonts w:ascii="Arial" w:hAnsi="Arial"/>
                <w:b w:val="0"/>
                <w:i w:val="0"/>
                <w:sz w:val="18"/>
              </w:rPr>
              <w:t>Advances under Emergency Credit Line Guarantee Scheme (ECLGS) have been correctly classified and the outstanding guarantee coverage verified with NCGTC confirmation letters.</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Concentration of Credit Risk</w:t>
            </w:r>
          </w:p>
        </w:tc>
        <w:tc>
          <w:tcPr>
            <w:tcW w:type="dxa" w:w="6236"/>
            <w:vAlign w:val="top"/>
          </w:tcPr>
          <w:p>
            <w:pPr>
              <w:jc w:val="left"/>
            </w:pPr>
            <w:r>
              <w:rPr>
                <w:rFonts w:ascii="Arial" w:hAnsi="Arial"/>
                <w:b w:val="0"/>
                <w:i w:val="0"/>
                <w:sz w:val="18"/>
              </w:rPr>
              <w:t>The top-20 borrower accounts represent [XX]% of total advances. Exposure norms per RBI guidelines have [not been breached / been breached — details below].</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Documentation / Security</w:t>
            </w:r>
          </w:p>
        </w:tc>
        <w:tc>
          <w:tcPr>
            <w:tcW w:type="dxa" w:w="6236"/>
            <w:vAlign w:val="top"/>
            <w:shd w:val="clear" w:color="auto" w:fill="EBF3FB"/>
          </w:tcPr>
          <w:p>
            <w:pPr>
              <w:jc w:val="left"/>
            </w:pPr>
            <w:r>
              <w:rPr>
                <w:rFonts w:ascii="Arial" w:hAnsi="Arial"/>
                <w:b w:val="0"/>
                <w:i w:val="0"/>
                <w:sz w:val="18"/>
              </w:rPr>
              <w:t>In the sample of accounts tested, charge creation, registration with CERSAI, and title deed custody were verified. [Specific deficiencies, if any, noted below.]</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Interest Income — Advances</w:t>
            </w:r>
          </w:p>
        </w:tc>
        <w:tc>
          <w:tcPr>
            <w:tcW w:type="dxa" w:w="6236"/>
            <w:vAlign w:val="top"/>
          </w:tcPr>
          <w:p>
            <w:pPr>
              <w:jc w:val="left"/>
            </w:pPr>
            <w:r>
              <w:rPr>
                <w:rFonts w:ascii="Arial" w:hAnsi="Arial"/>
                <w:b w:val="0"/>
                <w:i w:val="0"/>
                <w:sz w:val="18"/>
              </w:rPr>
              <w:t>Interest on performing advances has been accrued on a time basis. Interest on NPA accounts has been [recognised on a cash basis only / reversed on de-recognition]. No instances of premature interest income recognition noted.</w:t>
            </w:r>
          </w:p>
        </w:tc>
        <w:tc>
          <w:tcPr>
            <w:tcW w:type="dxa" w:w="1701"/>
            <w:vAlign w:val="top"/>
          </w:tcPr>
          <w:p>
            <w:pPr>
              <w:jc w:val="left"/>
            </w:pPr>
            <w:r>
              <w:rPr>
                <w:rFonts w:ascii="Arial" w:hAnsi="Arial"/>
                <w:b w:val="0"/>
                <w:i w:val="0"/>
                <w:sz w:val="18"/>
              </w:rPr>
              <w:t>Satisfactory</w:t>
            </w:r>
          </w:p>
        </w:tc>
      </w:tr>
    </w:tbl>
    <w:p/>
    <w:p>
      <w:pPr>
        <w:spacing w:before="160" w:after="80"/>
      </w:pPr>
      <w:r>
        <w:rPr>
          <w:rFonts w:ascii="Arial" w:hAnsi="Arial"/>
          <w:b/>
          <w:i w:val="0"/>
          <w:sz w:val="26"/>
        </w:rPr>
        <w:t>SECTION D — INVESTMENTS</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Portfolio Classification (HTM/AFS/HFT)</w:t>
            </w:r>
          </w:p>
        </w:tc>
        <w:tc>
          <w:tcPr>
            <w:tcW w:type="dxa" w:w="6236"/>
            <w:vAlign w:val="top"/>
          </w:tcPr>
          <w:p>
            <w:pPr>
              <w:jc w:val="left"/>
            </w:pPr>
            <w:r>
              <w:rPr>
                <w:rFonts w:ascii="Arial" w:hAnsi="Arial"/>
                <w:b w:val="0"/>
                <w:i w:val="0"/>
                <w:sz w:val="18"/>
              </w:rPr>
              <w:t>Investment portfolio has been classified into HTM, AFS, and HFT categories in accordance with RBI Investment Classification and Valuation Norms, 2023 (effective 1st April 2024). Transfer between categories (if any) during the year was with prior Board approval.</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Valuation — AFS &amp; HFT</w:t>
            </w:r>
          </w:p>
        </w:tc>
        <w:tc>
          <w:tcPr>
            <w:tcW w:type="dxa" w:w="6236"/>
            <w:vAlign w:val="top"/>
            <w:shd w:val="clear" w:color="auto" w:fill="EBF3FB"/>
          </w:tcPr>
          <w:p>
            <w:pPr>
              <w:jc w:val="left"/>
            </w:pPr>
            <w:r>
              <w:rPr>
                <w:rFonts w:ascii="Arial" w:hAnsi="Arial"/>
                <w:b w:val="0"/>
                <w:i w:val="0"/>
                <w:sz w:val="18"/>
              </w:rPr>
              <w:t>AFS and HFT securities have been marked to market using prices from FIMMDA/FBIL as at 31st March 20XX. Net depreciation has been charged to the Profit &amp; Loss Account; net appreciation has not been recognised in accordance with the prudential norms.</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SLR Compliance</w:t>
            </w:r>
          </w:p>
        </w:tc>
        <w:tc>
          <w:tcPr>
            <w:tcW w:type="dxa" w:w="6236"/>
            <w:vAlign w:val="top"/>
          </w:tcPr>
          <w:p>
            <w:pPr>
              <w:jc w:val="left"/>
            </w:pPr>
            <w:r>
              <w:rPr>
                <w:rFonts w:ascii="Arial" w:hAnsi="Arial"/>
                <w:b w:val="0"/>
                <w:i w:val="0"/>
                <w:sz w:val="18"/>
              </w:rPr>
              <w:t>The Bank has maintained the Statutory Liquidity Ratio (SLR) of [XX]% of Net Demand and Time Liabilities (NDTL) throughout the year as required under Section 24 of the Banking Regulation Act, 1949. [Any shortfalls/violations noted below.]</w:t>
            </w:r>
          </w:p>
        </w:tc>
        <w:tc>
          <w:tcPr>
            <w:tcW w:type="dxa" w:w="1701"/>
            <w:vAlign w:val="top"/>
          </w:tcPr>
          <w:p>
            <w:pPr>
              <w:jc w:val="left"/>
            </w:pPr>
            <w:r>
              <w:rPr>
                <w:rFonts w:ascii="Arial" w:hAnsi="Arial"/>
                <w:b w:val="0"/>
                <w:i w:val="0"/>
                <w:sz w:val="18"/>
              </w:rPr>
              <w:t>Compliant</w:t>
            </w:r>
          </w:p>
        </w:tc>
      </w:tr>
      <w:tr>
        <w:tc>
          <w:tcPr>
            <w:tcW w:type="dxa" w:w="3402"/>
            <w:vAlign w:val="top"/>
            <w:shd w:val="clear" w:color="auto" w:fill="EBF3FB"/>
          </w:tcPr>
          <w:p>
            <w:pPr>
              <w:jc w:val="left"/>
            </w:pPr>
            <w:r>
              <w:rPr>
                <w:rFonts w:ascii="Arial" w:hAnsi="Arial"/>
                <w:b w:val="0"/>
                <w:i w:val="0"/>
                <w:sz w:val="18"/>
              </w:rPr>
              <w:t>Investment in Subsidiaries/Associates</w:t>
            </w:r>
          </w:p>
        </w:tc>
        <w:tc>
          <w:tcPr>
            <w:tcW w:type="dxa" w:w="6236"/>
            <w:vAlign w:val="top"/>
            <w:shd w:val="clear" w:color="auto" w:fill="EBF3FB"/>
          </w:tcPr>
          <w:p>
            <w:pPr>
              <w:jc w:val="left"/>
            </w:pPr>
            <w:r>
              <w:rPr>
                <w:rFonts w:ascii="Arial" w:hAnsi="Arial"/>
                <w:b w:val="0"/>
                <w:i w:val="0"/>
                <w:sz w:val="18"/>
              </w:rPr>
              <w:t>Investments in subsidiaries and associates have been accounted for at cost less impairment in line with AS 13. No impairment indicators noted / Impairment assessed and provided for.</w:t>
            </w:r>
          </w:p>
        </w:tc>
        <w:tc>
          <w:tcPr>
            <w:tcW w:type="dxa" w:w="1701"/>
            <w:vAlign w:val="top"/>
            <w:shd w:val="clear" w:color="auto" w:fill="EBF3FB"/>
          </w:tcPr>
          <w:p>
            <w:pPr>
              <w:jc w:val="left"/>
            </w:pPr>
            <w:r>
              <w:rPr>
                <w:rFonts w:ascii="Arial" w:hAnsi="Arial"/>
                <w:b w:val="0"/>
                <w:i w:val="0"/>
                <w:sz w:val="18"/>
              </w:rPr>
              <w:t>Satisfactory</w:t>
            </w:r>
          </w:p>
        </w:tc>
      </w:tr>
    </w:tbl>
    <w:p/>
    <w:p>
      <w:pPr>
        <w:spacing w:before="160" w:after="80"/>
      </w:pPr>
      <w:r>
        <w:rPr>
          <w:rFonts w:ascii="Arial" w:hAnsi="Arial"/>
          <w:b/>
          <w:i w:val="0"/>
          <w:sz w:val="26"/>
        </w:rPr>
        <w:t>SECTION E — INCOME &amp; EXPENDITURE</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Interest Income</w:t>
            </w:r>
          </w:p>
        </w:tc>
        <w:tc>
          <w:tcPr>
            <w:tcW w:type="dxa" w:w="6236"/>
            <w:vAlign w:val="top"/>
          </w:tcPr>
          <w:p>
            <w:pPr>
              <w:jc w:val="left"/>
            </w:pPr>
            <w:r>
              <w:rPr>
                <w:rFonts w:ascii="Arial" w:hAnsi="Arial"/>
                <w:b w:val="0"/>
                <w:i w:val="0"/>
                <w:sz w:val="18"/>
              </w:rPr>
              <w:t>Interest income has been recognised on an accrual basis for performing assets in accordance with AS 9. Income on NPAs is recognised only on cash basis.</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Fee / Commission Income</w:t>
            </w:r>
          </w:p>
        </w:tc>
        <w:tc>
          <w:tcPr>
            <w:tcW w:type="dxa" w:w="6236"/>
            <w:vAlign w:val="top"/>
            <w:shd w:val="clear" w:color="auto" w:fill="EBF3FB"/>
          </w:tcPr>
          <w:p>
            <w:pPr>
              <w:jc w:val="left"/>
            </w:pPr>
            <w:r>
              <w:rPr>
                <w:rFonts w:ascii="Arial" w:hAnsi="Arial"/>
                <w:b w:val="0"/>
                <w:i w:val="0"/>
                <w:sz w:val="18"/>
              </w:rPr>
              <w:t>Fee income from letters of credit, bank guarantees, processing charges, and distribution of third-party products has been recognised on completion of performance obligation / at the time of rendering services.</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Staff Costs &amp; Pension Liability</w:t>
            </w:r>
          </w:p>
        </w:tc>
        <w:tc>
          <w:tcPr>
            <w:tcW w:type="dxa" w:w="6236"/>
            <w:vAlign w:val="top"/>
          </w:tcPr>
          <w:p>
            <w:pPr>
              <w:jc w:val="left"/>
            </w:pPr>
            <w:r>
              <w:rPr>
                <w:rFonts w:ascii="Arial" w:hAnsi="Arial"/>
                <w:b w:val="0"/>
                <w:i w:val="0"/>
                <w:sz w:val="18"/>
              </w:rPr>
              <w:t>Employee benefit obligations (gratuity, pension, leave encashment) have been computed by an actuary and accounted for in accordance with AS 15 (Revised). The actuarial assumptions used appear reasonable.</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Depreciation</w:t>
            </w:r>
          </w:p>
        </w:tc>
        <w:tc>
          <w:tcPr>
            <w:tcW w:type="dxa" w:w="6236"/>
            <w:vAlign w:val="top"/>
            <w:shd w:val="clear" w:color="auto" w:fill="EBF3FB"/>
          </w:tcPr>
          <w:p>
            <w:pPr>
              <w:jc w:val="left"/>
            </w:pPr>
            <w:r>
              <w:rPr>
                <w:rFonts w:ascii="Arial" w:hAnsi="Arial"/>
                <w:b w:val="0"/>
                <w:i w:val="0"/>
                <w:sz w:val="18"/>
              </w:rPr>
              <w:t>Depreciation on fixed assets has been charged at rates not lower than those prescribed in Schedule II of the Companies Act, 2013 / consistent with prior year treatment.</w:t>
            </w:r>
          </w:p>
        </w:tc>
        <w:tc>
          <w:tcPr>
            <w:tcW w:type="dxa" w:w="1701"/>
            <w:vAlign w:val="top"/>
            <w:shd w:val="clear" w:color="auto" w:fill="EBF3FB"/>
          </w:tcPr>
          <w:p>
            <w:pPr>
              <w:jc w:val="left"/>
            </w:pPr>
            <w:r>
              <w:rPr>
                <w:rFonts w:ascii="Arial" w:hAnsi="Arial"/>
                <w:b w:val="0"/>
                <w:i w:val="0"/>
                <w:sz w:val="18"/>
              </w:rPr>
              <w:t>Satisfactory</w:t>
            </w:r>
          </w:p>
        </w:tc>
      </w:tr>
    </w:tbl>
    <w:p/>
    <w:p>
      <w:pPr>
        <w:spacing w:before="160" w:after="80"/>
      </w:pPr>
      <w:r>
        <w:rPr>
          <w:rFonts w:ascii="Arial" w:hAnsi="Arial"/>
          <w:b/>
          <w:i w:val="0"/>
          <w:sz w:val="26"/>
        </w:rPr>
        <w:t>SECTION F — BALANCE SHEET ITEMS (OTHER)</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402"/>
            <w:vAlign w:val="top"/>
            <w:shd w:val="clear" w:color="auto" w:fill="1F4E79"/>
          </w:tcPr>
          <w:p>
            <w:pPr>
              <w:jc w:val="center"/>
            </w:pPr>
            <w:r>
              <w:rPr>
                <w:rFonts w:ascii="Arial" w:hAnsi="Arial"/>
                <w:b/>
                <w:i w:val="0"/>
                <w:color w:val="FFFFFF"/>
                <w:sz w:val="18"/>
              </w:rPr>
              <w:t>Area</w:t>
            </w:r>
          </w:p>
        </w:tc>
        <w:tc>
          <w:tcPr>
            <w:tcW w:type="dxa" w:w="6236"/>
            <w:vAlign w:val="top"/>
            <w:shd w:val="clear" w:color="auto" w:fill="1F4E79"/>
          </w:tcPr>
          <w:p>
            <w:pPr>
              <w:jc w:val="center"/>
            </w:pPr>
            <w:r>
              <w:rPr>
                <w:rFonts w:ascii="Arial" w:hAnsi="Arial"/>
                <w:b/>
                <w:i w:val="0"/>
                <w:color w:val="FFFFFF"/>
                <w:sz w:val="18"/>
              </w:rPr>
              <w:t>Observation / Comment</w:t>
            </w:r>
          </w:p>
        </w:tc>
        <w:tc>
          <w:tcPr>
            <w:tcW w:type="dxa" w:w="1701"/>
            <w:vAlign w:val="top"/>
            <w:shd w:val="clear" w:color="auto" w:fill="1F4E79"/>
          </w:tcPr>
          <w:p>
            <w:pPr>
              <w:jc w:val="center"/>
            </w:pPr>
            <w:r>
              <w:rPr>
                <w:rFonts w:ascii="Arial" w:hAnsi="Arial"/>
                <w:b/>
                <w:i w:val="0"/>
                <w:color w:val="FFFFFF"/>
                <w:sz w:val="18"/>
              </w:rPr>
              <w:t>Status</w:t>
            </w:r>
          </w:p>
        </w:tc>
      </w:tr>
      <w:tr>
        <w:tc>
          <w:tcPr>
            <w:tcW w:type="dxa" w:w="3402"/>
            <w:vAlign w:val="top"/>
          </w:tcPr>
          <w:p>
            <w:pPr>
              <w:jc w:val="left"/>
            </w:pPr>
            <w:r>
              <w:rPr>
                <w:rFonts w:ascii="Arial" w:hAnsi="Arial"/>
                <w:b w:val="0"/>
                <w:i w:val="0"/>
                <w:sz w:val="18"/>
              </w:rPr>
              <w:t>Cash &amp; Balances with RBI</w:t>
            </w:r>
          </w:p>
        </w:tc>
        <w:tc>
          <w:tcPr>
            <w:tcW w:type="dxa" w:w="6236"/>
            <w:vAlign w:val="top"/>
          </w:tcPr>
          <w:p>
            <w:pPr>
              <w:jc w:val="left"/>
            </w:pPr>
            <w:r>
              <w:rPr>
                <w:rFonts w:ascii="Arial" w:hAnsi="Arial"/>
                <w:b w:val="0"/>
                <w:i w:val="0"/>
                <w:sz w:val="18"/>
              </w:rPr>
              <w:t>Cash in hand and balances with RBI have been verified through physical count certificates and RBI account statements respectively. CRR maintenance has been verified against RBI returns filed.</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Balances with Other Banks / Money at Call</w:t>
            </w:r>
          </w:p>
        </w:tc>
        <w:tc>
          <w:tcPr>
            <w:tcW w:type="dxa" w:w="6236"/>
            <w:vAlign w:val="top"/>
            <w:shd w:val="clear" w:color="auto" w:fill="EBF3FB"/>
          </w:tcPr>
          <w:p>
            <w:pPr>
              <w:jc w:val="left"/>
            </w:pPr>
            <w:r>
              <w:rPr>
                <w:rFonts w:ascii="Arial" w:hAnsi="Arial"/>
                <w:b w:val="0"/>
                <w:i w:val="0"/>
                <w:sz w:val="18"/>
              </w:rPr>
              <w:t>Balances with other banks (in India and abroad) and money at call have been confirmed through direct bank confirmations / SWIFT confirmations.</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Fixed Assets</w:t>
            </w:r>
          </w:p>
        </w:tc>
        <w:tc>
          <w:tcPr>
            <w:tcW w:type="dxa" w:w="6236"/>
            <w:vAlign w:val="top"/>
          </w:tcPr>
          <w:p>
            <w:pPr>
              <w:jc w:val="left"/>
            </w:pPr>
            <w:r>
              <w:rPr>
                <w:rFonts w:ascii="Arial" w:hAnsi="Arial"/>
                <w:b w:val="0"/>
                <w:i w:val="0"/>
                <w:sz w:val="18"/>
              </w:rPr>
              <w:t>The fixed assets register has been reconciled to the financial statements. Physical verification of major assets was conducted [by management / by us jointly] and the results were [reconciled / unreconciled — refer findings].</w:t>
            </w:r>
          </w:p>
        </w:tc>
        <w:tc>
          <w:tcPr>
            <w:tcW w:type="dxa" w:w="1701"/>
            <w:vAlign w:val="top"/>
          </w:tcPr>
          <w:p>
            <w:pPr>
              <w:jc w:val="left"/>
            </w:pPr>
            <w:r>
              <w:rPr>
                <w:rFonts w:ascii="Arial" w:hAnsi="Arial"/>
                <w:b w:val="0"/>
                <w:i w:val="0"/>
                <w:sz w:val="18"/>
              </w:rPr>
              <w:t>Satisfactory</w:t>
            </w:r>
          </w:p>
        </w:tc>
      </w:tr>
      <w:tr>
        <w:tc>
          <w:tcPr>
            <w:tcW w:type="dxa" w:w="3402"/>
            <w:vAlign w:val="top"/>
            <w:shd w:val="clear" w:color="auto" w:fill="EBF3FB"/>
          </w:tcPr>
          <w:p>
            <w:pPr>
              <w:jc w:val="left"/>
            </w:pPr>
            <w:r>
              <w:rPr>
                <w:rFonts w:ascii="Arial" w:hAnsi="Arial"/>
                <w:b w:val="0"/>
                <w:i w:val="0"/>
                <w:sz w:val="18"/>
              </w:rPr>
              <w:t>Other Assets — Deferred Tax</w:t>
            </w:r>
          </w:p>
        </w:tc>
        <w:tc>
          <w:tcPr>
            <w:tcW w:type="dxa" w:w="6236"/>
            <w:vAlign w:val="top"/>
            <w:shd w:val="clear" w:color="auto" w:fill="EBF3FB"/>
          </w:tcPr>
          <w:p>
            <w:pPr>
              <w:jc w:val="left"/>
            </w:pPr>
            <w:r>
              <w:rPr>
                <w:rFonts w:ascii="Arial" w:hAnsi="Arial"/>
                <w:b w:val="0"/>
                <w:i w:val="0"/>
                <w:sz w:val="18"/>
              </w:rPr>
              <w:t>Deferred tax assets (DTA) and deferred tax liabilities (DTL) have been computed in accordance with AS 22. DTA has been recognised only to the extent that future taxable profits are expected.</w:t>
            </w:r>
          </w:p>
        </w:tc>
        <w:tc>
          <w:tcPr>
            <w:tcW w:type="dxa" w:w="1701"/>
            <w:vAlign w:val="top"/>
            <w:shd w:val="clear" w:color="auto" w:fill="EBF3FB"/>
          </w:tcPr>
          <w:p>
            <w:pPr>
              <w:jc w:val="left"/>
            </w:pPr>
            <w:r>
              <w:rPr>
                <w:rFonts w:ascii="Arial" w:hAnsi="Arial"/>
                <w:b w:val="0"/>
                <w:i w:val="0"/>
                <w:sz w:val="18"/>
              </w:rPr>
              <w:t>Satisfactory</w:t>
            </w:r>
          </w:p>
        </w:tc>
      </w:tr>
      <w:tr>
        <w:tc>
          <w:tcPr>
            <w:tcW w:type="dxa" w:w="3402"/>
            <w:vAlign w:val="top"/>
          </w:tcPr>
          <w:p>
            <w:pPr>
              <w:jc w:val="left"/>
            </w:pPr>
            <w:r>
              <w:rPr>
                <w:rFonts w:ascii="Arial" w:hAnsi="Arial"/>
                <w:b w:val="0"/>
                <w:i w:val="0"/>
                <w:sz w:val="18"/>
              </w:rPr>
              <w:t>NOSTRO Reconciliation</w:t>
            </w:r>
          </w:p>
        </w:tc>
        <w:tc>
          <w:tcPr>
            <w:tcW w:type="dxa" w:w="6236"/>
            <w:vAlign w:val="top"/>
          </w:tcPr>
          <w:p>
            <w:pPr>
              <w:jc w:val="left"/>
            </w:pPr>
            <w:r>
              <w:rPr>
                <w:rFonts w:ascii="Arial" w:hAnsi="Arial"/>
                <w:b w:val="0"/>
                <w:i w:val="0"/>
                <w:sz w:val="18"/>
              </w:rPr>
              <w:t>Pending items in NOSTRO accounts as at 31st March 20XX have been reviewed. Items outstanding beyond [XX] days have been examined. [No significant unexplained items / Unexplained items noted — details below.]</w:t>
            </w:r>
          </w:p>
        </w:tc>
        <w:tc>
          <w:tcPr>
            <w:tcW w:type="dxa" w:w="1701"/>
            <w:vAlign w:val="top"/>
          </w:tcPr>
          <w:p>
            <w:pPr>
              <w:jc w:val="left"/>
            </w:pPr>
            <w:r>
              <w:rPr>
                <w:rFonts w:ascii="Arial" w:hAnsi="Arial"/>
                <w:b w:val="0"/>
                <w:i w:val="0"/>
                <w:sz w:val="18"/>
              </w:rPr>
              <w:t>Satisfactory</w:t>
            </w:r>
          </w:p>
        </w:tc>
      </w:tr>
    </w:tbl>
    <w:p/>
    <w:p>
      <w:pPr>
        <w:spacing w:before="160" w:after="80"/>
      </w:pPr>
      <w:r>
        <w:rPr>
          <w:rFonts w:ascii="Arial" w:hAnsi="Arial"/>
          <w:b/>
          <w:i w:val="0"/>
          <w:sz w:val="26"/>
        </w:rPr>
        <w:t>SECTION G — FRAUDS &amp; IRREGULARITIES</w:t>
      </w:r>
    </w:p>
    <w:p>
      <w:pPr>
        <w:spacing w:before="40" w:after="40"/>
        <w:pBdr>
          <w:bottom w:val="single" w:sz="6" w:space="1" w:color="1F4E79"/>
        </w:pBdr>
      </w:pPr>
    </w:p>
    <w:p>
      <w:pPr>
        <w:spacing w:before="80" w:after="80"/>
        <w:jc w:val="left"/>
      </w:pPr>
      <w:r>
        <w:rPr>
          <w:rFonts w:ascii="Arial" w:hAnsi="Arial"/>
          <w:b w:val="0"/>
          <w:i w:val="0"/>
          <w:sz w:val="20"/>
        </w:rPr>
        <w:t>During the course of audit, the following frauds / suspected frauds came to our notice / were reported by management:</w:t>
      </w:r>
    </w:p>
    <w:tbl>
      <w:tblPr>
        <w:tblStyle w:val="TableGrid"/>
        <w:tblW w:type="auto" w:w="0"/>
        <w:tblLook w:firstColumn="1" w:firstRow="1" w:lastColumn="0" w:lastRow="0" w:noHBand="0" w:noVBand="1" w:val="04A0"/>
      </w:tblPr>
      <w:tblGrid>
        <w:gridCol w:w="2428"/>
        <w:gridCol w:w="2428"/>
        <w:gridCol w:w="2428"/>
        <w:gridCol w:w="2428"/>
        <w:gridCol w:w="2428"/>
        <w:gridCol w:w="2428"/>
      </w:tblGrid>
      <w:tr>
        <w:tc>
          <w:tcPr>
            <w:tcW w:type="dxa" w:w="567"/>
            <w:vAlign w:val="top"/>
            <w:shd w:val="clear" w:color="auto" w:fill="1F4E79"/>
          </w:tcPr>
          <w:p>
            <w:pPr>
              <w:jc w:val="center"/>
            </w:pPr>
            <w:r>
              <w:rPr>
                <w:rFonts w:ascii="Arial" w:hAnsi="Arial"/>
                <w:b/>
                <w:i w:val="0"/>
                <w:color w:val="FFFFFF"/>
                <w:sz w:val="18"/>
              </w:rPr>
              <w:t>Sr.</w:t>
            </w:r>
          </w:p>
        </w:tc>
        <w:tc>
          <w:tcPr>
            <w:tcW w:type="dxa" w:w="2835"/>
            <w:vAlign w:val="top"/>
            <w:shd w:val="clear" w:color="auto" w:fill="1F4E79"/>
          </w:tcPr>
          <w:p>
            <w:pPr>
              <w:jc w:val="center"/>
            </w:pPr>
            <w:r>
              <w:rPr>
                <w:rFonts w:ascii="Arial" w:hAnsi="Arial"/>
                <w:b/>
                <w:i w:val="0"/>
                <w:color w:val="FFFFFF"/>
                <w:sz w:val="18"/>
              </w:rPr>
              <w:t>Nature of Fraud</w:t>
            </w:r>
          </w:p>
        </w:tc>
        <w:tc>
          <w:tcPr>
            <w:tcW w:type="dxa" w:w="1701"/>
            <w:vAlign w:val="top"/>
            <w:shd w:val="clear" w:color="auto" w:fill="1F4E79"/>
          </w:tcPr>
          <w:p>
            <w:pPr>
              <w:jc w:val="center"/>
            </w:pPr>
            <w:r>
              <w:rPr>
                <w:rFonts w:ascii="Arial" w:hAnsi="Arial"/>
                <w:b/>
                <w:i w:val="0"/>
                <w:color w:val="FFFFFF"/>
                <w:sz w:val="18"/>
              </w:rPr>
              <w:t>Amount (₹ Lakh)</w:t>
            </w:r>
          </w:p>
        </w:tc>
        <w:tc>
          <w:tcPr>
            <w:tcW w:type="dxa" w:w="1701"/>
            <w:vAlign w:val="top"/>
            <w:shd w:val="clear" w:color="auto" w:fill="1F4E79"/>
          </w:tcPr>
          <w:p>
            <w:pPr>
              <w:jc w:val="center"/>
            </w:pPr>
            <w:r>
              <w:rPr>
                <w:rFonts w:ascii="Arial" w:hAnsi="Arial"/>
                <w:b/>
                <w:i w:val="0"/>
                <w:color w:val="FFFFFF"/>
                <w:sz w:val="18"/>
              </w:rPr>
              <w:t>Reported to RBI (Y/N)</w:t>
            </w:r>
          </w:p>
        </w:tc>
        <w:tc>
          <w:tcPr>
            <w:tcW w:type="dxa" w:w="1701"/>
            <w:vAlign w:val="top"/>
            <w:shd w:val="clear" w:color="auto" w:fill="1F4E79"/>
          </w:tcPr>
          <w:p>
            <w:pPr>
              <w:jc w:val="center"/>
            </w:pPr>
            <w:r>
              <w:rPr>
                <w:rFonts w:ascii="Arial" w:hAnsi="Arial"/>
                <w:b/>
                <w:i w:val="0"/>
                <w:color w:val="FFFFFF"/>
                <w:sz w:val="18"/>
              </w:rPr>
              <w:t>Police Complaint</w:t>
            </w:r>
          </w:p>
        </w:tc>
        <w:tc>
          <w:tcPr>
            <w:tcW w:type="dxa" w:w="2835"/>
            <w:vAlign w:val="top"/>
            <w:shd w:val="clear" w:color="auto" w:fill="1F4E79"/>
          </w:tcPr>
          <w:p>
            <w:pPr>
              <w:jc w:val="center"/>
            </w:pPr>
            <w:r>
              <w:rPr>
                <w:rFonts w:ascii="Arial" w:hAnsi="Arial"/>
                <w:b/>
                <w:i w:val="0"/>
                <w:color w:val="FFFFFF"/>
                <w:sz w:val="18"/>
              </w:rPr>
              <w:t>Remarks</w:t>
            </w:r>
          </w:p>
        </w:tc>
      </w:tr>
      <w:tr>
        <w:tc>
          <w:tcPr>
            <w:tcW w:type="dxa" w:w="567"/>
            <w:vAlign w:val="top"/>
          </w:tcPr>
          <w:p>
            <w:pPr>
              <w:jc w:val="left"/>
            </w:pPr>
            <w:r>
              <w:rPr>
                <w:rFonts w:ascii="Arial" w:hAnsi="Arial"/>
                <w:b w:val="0"/>
                <w:i w:val="0"/>
                <w:sz w:val="18"/>
              </w:rPr>
              <w:t>1</w:t>
            </w:r>
          </w:p>
        </w:tc>
        <w:tc>
          <w:tcPr>
            <w:tcW w:type="dxa" w:w="2835"/>
            <w:vAlign w:val="top"/>
          </w:tcPr>
          <w:p>
            <w:pPr>
              <w:jc w:val="left"/>
            </w:pPr>
            <w:r>
              <w:rPr>
                <w:rFonts w:ascii="Arial" w:hAnsi="Arial"/>
                <w:b w:val="0"/>
                <w:i w:val="0"/>
                <w:sz w:val="18"/>
              </w:rPr>
              <w:t>[Nature — e.g., cheating / misappropriation / cyber fraud]</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[Yes/No]</w:t>
            </w:r>
          </w:p>
        </w:tc>
        <w:tc>
          <w:tcPr>
            <w:tcW w:type="dxa" w:w="1701"/>
            <w:vAlign w:val="top"/>
          </w:tcPr>
          <w:p>
            <w:pPr>
              <w:jc w:val="left"/>
            </w:pPr>
            <w:r>
              <w:rPr>
                <w:rFonts w:ascii="Arial" w:hAnsi="Arial"/>
                <w:b w:val="0"/>
                <w:i w:val="0"/>
                <w:sz w:val="18"/>
              </w:rPr>
              <w:t>[Yes/No]</w:t>
            </w:r>
          </w:p>
        </w:tc>
        <w:tc>
          <w:tcPr>
            <w:tcW w:type="dxa" w:w="2835"/>
            <w:vAlign w:val="top"/>
          </w:tcPr>
          <w:p>
            <w:pPr>
              <w:jc w:val="left"/>
            </w:pPr>
            <w:r>
              <w:rPr>
                <w:rFonts w:ascii="Arial" w:hAnsi="Arial"/>
                <w:b w:val="0"/>
                <w:i w:val="0"/>
                <w:sz w:val="18"/>
              </w:rPr>
              <w:t>[Status]</w:t>
            </w:r>
          </w:p>
        </w:tc>
      </w:tr>
      <w:tr>
        <w:tc>
          <w:tcPr>
            <w:tcW w:type="dxa" w:w="567"/>
            <w:vAlign w:val="top"/>
            <w:shd w:val="clear" w:color="auto" w:fill="EBF3FB"/>
          </w:tcPr>
          <w:p>
            <w:pPr>
              <w:jc w:val="left"/>
            </w:pPr>
            <w:r>
              <w:rPr>
                <w:rFonts w:ascii="Arial" w:hAnsi="Arial"/>
                <w:b w:val="0"/>
                <w:i w:val="0"/>
                <w:sz w:val="18"/>
              </w:rPr>
              <w:t>2</w:t>
            </w:r>
          </w:p>
        </w:tc>
        <w:tc>
          <w:tcPr>
            <w:tcW w:type="dxa" w:w="2835"/>
            <w:vAlign w:val="top"/>
            <w:shd w:val="clear" w:color="auto" w:fill="EBF3FB"/>
          </w:tcPr>
          <w:p>
            <w:pPr>
              <w:jc w:val="left"/>
            </w:pPr>
            <w:r>
              <w:rPr>
                <w:rFonts w:ascii="Arial" w:hAnsi="Arial"/>
                <w:b w:val="0"/>
                <w:i w:val="0"/>
                <w:sz w:val="18"/>
              </w:rPr>
              <w:t>NIL — No frauds came to our notice during the audit.</w:t>
            </w:r>
          </w:p>
        </w:tc>
        <w:tc>
          <w:tcPr>
            <w:tcW w:type="dxa" w:w="1701"/>
            <w:vAlign w:val="top"/>
            <w:shd w:val="clear" w:color="auto" w:fill="EBF3FB"/>
          </w:tcPr>
          <w:p>
            <w:pPr>
              <w:jc w:val="left"/>
            </w:pPr>
            <w:r>
              <w:rPr>
                <w:rFonts w:ascii="Arial" w:hAnsi="Arial"/>
                <w:b w:val="0"/>
                <w:i w:val="0"/>
                <w:sz w:val="18"/>
              </w:rPr>
              <w:t>—</w:t>
            </w:r>
          </w:p>
        </w:tc>
        <w:tc>
          <w:tcPr>
            <w:tcW w:type="dxa" w:w="1701"/>
            <w:vAlign w:val="top"/>
            <w:shd w:val="clear" w:color="auto" w:fill="EBF3FB"/>
          </w:tcPr>
          <w:p>
            <w:pPr>
              <w:jc w:val="left"/>
            </w:pPr>
            <w:r>
              <w:rPr>
                <w:rFonts w:ascii="Arial" w:hAnsi="Arial"/>
                <w:b w:val="0"/>
                <w:i w:val="0"/>
                <w:sz w:val="18"/>
              </w:rPr>
              <w:t>—</w:t>
            </w:r>
          </w:p>
        </w:tc>
        <w:tc>
          <w:tcPr>
            <w:tcW w:type="dxa" w:w="1701"/>
            <w:vAlign w:val="top"/>
            <w:shd w:val="clear" w:color="auto" w:fill="EBF3FB"/>
          </w:tcPr>
          <w:p>
            <w:pPr>
              <w:jc w:val="left"/>
            </w:pPr>
            <w:r>
              <w:rPr>
                <w:rFonts w:ascii="Arial" w:hAnsi="Arial"/>
                <w:b w:val="0"/>
                <w:i w:val="0"/>
                <w:sz w:val="18"/>
              </w:rPr>
              <w:t>—</w:t>
            </w:r>
          </w:p>
        </w:tc>
        <w:tc>
          <w:tcPr>
            <w:tcW w:type="dxa" w:w="2835"/>
            <w:vAlign w:val="top"/>
            <w:shd w:val="clear" w:color="auto" w:fill="EBF3FB"/>
          </w:tcPr>
          <w:p>
            <w:pPr>
              <w:jc w:val="left"/>
            </w:pPr>
            <w:r>
              <w:rPr>
                <w:rFonts w:ascii="Arial" w:hAnsi="Arial"/>
                <w:b w:val="0"/>
                <w:i w:val="0"/>
                <w:sz w:val="18"/>
              </w:rPr>
              <w:t>—</w:t>
            </w:r>
          </w:p>
        </w:tc>
      </w:tr>
    </w:tbl>
    <w:p/>
    <w:p>
      <w:pPr>
        <w:spacing w:before="80" w:after="80"/>
        <w:jc w:val="left"/>
      </w:pPr>
      <w:r>
        <w:rPr>
          <w:rFonts w:ascii="Arial" w:hAnsi="Arial"/>
          <w:b w:val="0"/>
          <w:i w:val="0"/>
          <w:sz w:val="20"/>
        </w:rPr>
        <w:t>Management has represented to us that all frauds above the prescribed threshold have been reported to RBI in the prescribed format. We have not independently verified the completeness of fraud reporting. [Any specific observations.]</w:t>
      </w:r>
    </w:p>
    <w:p>
      <w:pPr>
        <w:spacing w:before="160" w:after="80"/>
      </w:pPr>
      <w:r>
        <w:rPr>
          <w:rFonts w:ascii="Arial" w:hAnsi="Arial"/>
          <w:b/>
          <w:i w:val="0"/>
          <w:sz w:val="26"/>
        </w:rPr>
        <w:t>SECTION H — INFORMATION TECHNOLOGY &amp; CBS</w:t>
      </w:r>
    </w:p>
    <w:p>
      <w:pPr>
        <w:spacing w:before="40" w:after="40"/>
        <w:pBdr>
          <w:bottom w:val="single" w:sz="6" w:space="1" w:color="1F4E79"/>
        </w:pBdr>
      </w:pPr>
    </w:p>
    <w:tbl>
      <w:tblPr>
        <w:tblStyle w:val="TableGrid"/>
        <w:tblW w:type="auto" w:w="0"/>
        <w:tblLook w:firstColumn="1" w:firstRow="1" w:lastColumn="0" w:lastRow="0" w:noHBand="0" w:noVBand="1" w:val="04A0"/>
      </w:tblPr>
      <w:tblGrid>
        <w:gridCol w:w="7285"/>
        <w:gridCol w:w="7285"/>
      </w:tblGrid>
      <w:tr>
        <w:tc>
          <w:tcPr>
            <w:tcW w:type="dxa" w:w="2835"/>
            <w:vAlign w:val="top"/>
            <w:shd w:val="clear" w:color="auto" w:fill="1F4E79"/>
          </w:tcPr>
          <w:p>
            <w:pPr>
              <w:jc w:val="center"/>
            </w:pPr>
            <w:r>
              <w:rPr>
                <w:rFonts w:ascii="Arial" w:hAnsi="Arial"/>
                <w:b/>
                <w:i w:val="0"/>
                <w:color w:val="FFFFFF"/>
                <w:sz w:val="18"/>
              </w:rPr>
              <w:t>Area</w:t>
            </w:r>
          </w:p>
        </w:tc>
        <w:tc>
          <w:tcPr>
            <w:tcW w:type="dxa" w:w="8504"/>
            <w:vAlign w:val="top"/>
            <w:shd w:val="clear" w:color="auto" w:fill="1F4E79"/>
          </w:tcPr>
          <w:p>
            <w:pPr>
              <w:jc w:val="center"/>
            </w:pPr>
            <w:r>
              <w:rPr>
                <w:rFonts w:ascii="Arial" w:hAnsi="Arial"/>
                <w:b/>
                <w:i w:val="0"/>
                <w:color w:val="FFFFFF"/>
                <w:sz w:val="18"/>
              </w:rPr>
              <w:t>Observation / Comment</w:t>
            </w:r>
          </w:p>
        </w:tc>
      </w:tr>
      <w:tr>
        <w:tc>
          <w:tcPr>
            <w:tcW w:type="dxa" w:w="2835"/>
            <w:vAlign w:val="top"/>
          </w:tcPr>
          <w:p>
            <w:pPr>
              <w:jc w:val="left"/>
            </w:pPr>
            <w:r>
              <w:rPr>
                <w:rFonts w:ascii="Arial" w:hAnsi="Arial"/>
                <w:b w:val="0"/>
                <w:i w:val="0"/>
                <w:sz w:val="18"/>
              </w:rPr>
              <w:t>Core Banking System (CBS)</w:t>
            </w:r>
          </w:p>
        </w:tc>
        <w:tc>
          <w:tcPr>
            <w:tcW w:type="dxa" w:w="8504"/>
            <w:vAlign w:val="top"/>
          </w:tcPr>
          <w:p>
            <w:pPr>
              <w:jc w:val="left"/>
            </w:pPr>
            <w:r>
              <w:rPr>
                <w:rFonts w:ascii="Arial" w:hAnsi="Arial"/>
                <w:b w:val="0"/>
                <w:i w:val="0"/>
                <w:sz w:val="18"/>
              </w:rPr>
              <w:t>The Bank operates on [Name of CBS — e.g., Finacle / BaNCS]. We have reviewed the IT General Controls (access management, change management, backup and recovery) through discussion with IT management and review of policies. [No significant deficiencies / Material weakness noted — details below.]</w:t>
            </w:r>
          </w:p>
        </w:tc>
      </w:tr>
      <w:tr>
        <w:tc>
          <w:tcPr>
            <w:tcW w:type="dxa" w:w="2835"/>
            <w:vAlign w:val="top"/>
            <w:shd w:val="clear" w:color="auto" w:fill="EBF3FB"/>
          </w:tcPr>
          <w:p>
            <w:pPr>
              <w:jc w:val="left"/>
            </w:pPr>
            <w:r>
              <w:rPr>
                <w:rFonts w:ascii="Arial" w:hAnsi="Arial"/>
                <w:b w:val="0"/>
                <w:i w:val="0"/>
                <w:sz w:val="18"/>
              </w:rPr>
              <w:t>Cyber Security</w:t>
            </w:r>
          </w:p>
        </w:tc>
        <w:tc>
          <w:tcPr>
            <w:tcW w:type="dxa" w:w="8504"/>
            <w:vAlign w:val="top"/>
            <w:shd w:val="clear" w:color="auto" w:fill="EBF3FB"/>
          </w:tcPr>
          <w:p>
            <w:pPr>
              <w:jc w:val="left"/>
            </w:pPr>
            <w:r>
              <w:rPr>
                <w:rFonts w:ascii="Arial" w:hAnsi="Arial"/>
                <w:b w:val="0"/>
                <w:i w:val="0"/>
                <w:sz w:val="18"/>
              </w:rPr>
              <w:t>The Bank has [an ISMS in place / does not have a formal ISMS]. We have reviewed the RBI Cyber Security Framework compliance checklist. [No significant gaps / Gaps noted.]</w:t>
            </w:r>
          </w:p>
        </w:tc>
      </w:tr>
      <w:tr>
        <w:tc>
          <w:tcPr>
            <w:tcW w:type="dxa" w:w="2835"/>
            <w:vAlign w:val="top"/>
          </w:tcPr>
          <w:p>
            <w:pPr>
              <w:jc w:val="left"/>
            </w:pPr>
            <w:r>
              <w:rPr>
                <w:rFonts w:ascii="Arial" w:hAnsi="Arial"/>
                <w:b w:val="0"/>
                <w:i w:val="0"/>
                <w:sz w:val="18"/>
              </w:rPr>
              <w:t>Data Integrity</w:t>
            </w:r>
          </w:p>
        </w:tc>
        <w:tc>
          <w:tcPr>
            <w:tcW w:type="dxa" w:w="8504"/>
            <w:vAlign w:val="top"/>
          </w:tcPr>
          <w:p>
            <w:pPr>
              <w:jc w:val="left"/>
            </w:pPr>
            <w:r>
              <w:rPr>
                <w:rFonts w:ascii="Arial" w:hAnsi="Arial"/>
                <w:b w:val="0"/>
                <w:i w:val="0"/>
                <w:sz w:val="18"/>
              </w:rPr>
              <w:t>Output of CBS (trial balance, advance reports, deposit reports) was relied upon after performing reconciliation controls. No material data integrity issues noted.</w:t>
            </w:r>
          </w:p>
        </w:tc>
      </w:tr>
      <w:tr>
        <w:tc>
          <w:tcPr>
            <w:tcW w:type="dxa" w:w="2835"/>
            <w:vAlign w:val="top"/>
            <w:shd w:val="clear" w:color="auto" w:fill="EBF3FB"/>
          </w:tcPr>
          <w:p>
            <w:pPr>
              <w:jc w:val="left"/>
            </w:pPr>
            <w:r>
              <w:rPr>
                <w:rFonts w:ascii="Arial" w:hAnsi="Arial"/>
                <w:b w:val="0"/>
                <w:i w:val="0"/>
                <w:sz w:val="18"/>
              </w:rPr>
              <w:t>ITGC Reliance</w:t>
            </w:r>
          </w:p>
        </w:tc>
        <w:tc>
          <w:tcPr>
            <w:tcW w:type="dxa" w:w="8504"/>
            <w:vAlign w:val="top"/>
            <w:shd w:val="clear" w:color="auto" w:fill="EBF3FB"/>
          </w:tcPr>
          <w:p>
            <w:pPr>
              <w:jc w:val="left"/>
            </w:pPr>
            <w:r>
              <w:rPr>
                <w:rFonts w:ascii="Arial" w:hAnsi="Arial"/>
                <w:b w:val="0"/>
                <w:i w:val="0"/>
                <w:sz w:val="18"/>
              </w:rPr>
              <w:t>To the extent we have relied on system-generated reports, we have performed reconciliation procedures and found the reports to be reliable for audit purposes.</w:t>
            </w:r>
          </w:p>
        </w:tc>
      </w:tr>
    </w:tbl>
    <w:p/>
    <w:p>
      <w:pPr>
        <w:spacing w:before="160" w:after="80"/>
      </w:pPr>
      <w:r>
        <w:rPr>
          <w:rFonts w:ascii="Arial" w:hAnsi="Arial"/>
          <w:b/>
          <w:i w:val="0"/>
          <w:sz w:val="26"/>
        </w:rPr>
        <w:t>SECTION I — CAPITAL ADEQUACY (CRAR)</w:t>
      </w:r>
    </w:p>
    <w:p>
      <w:pPr>
        <w:spacing w:before="40" w:after="40"/>
        <w:pBdr>
          <w:bottom w:val="single" w:sz="6" w:space="1" w:color="1F4E79"/>
        </w:pBdr>
      </w:pPr>
    </w:p>
    <w:p>
      <w:pPr>
        <w:spacing w:before="80" w:after="80"/>
        <w:jc w:val="left"/>
      </w:pPr>
      <w:r>
        <w:rPr>
          <w:rFonts w:ascii="Arial" w:hAnsi="Arial"/>
          <w:b w:val="0"/>
          <w:i w:val="0"/>
          <w:sz w:val="20"/>
        </w:rPr>
        <w:t>The Bank's Capital to Risk-weighted Assets Ratio (CRAR) as reported by management as at 31st March 20XX is as under:</w:t>
      </w:r>
    </w:p>
    <w:tbl>
      <w:tblPr>
        <w:tblStyle w:val="TableGrid"/>
        <w:tblW w:type="auto" w:w="0"/>
        <w:tblLook w:firstColumn="1" w:firstRow="1" w:lastColumn="0" w:lastRow="0" w:noHBand="0" w:noVBand="1" w:val="04A0"/>
      </w:tblPr>
      <w:tblGrid>
        <w:gridCol w:w="3642"/>
        <w:gridCol w:w="3642"/>
        <w:gridCol w:w="3642"/>
        <w:gridCol w:w="3642"/>
      </w:tblGrid>
      <w:tr>
        <w:tc>
          <w:tcPr>
            <w:tcW w:type="dxa" w:w="3969"/>
            <w:vAlign w:val="top"/>
            <w:shd w:val="clear" w:color="auto" w:fill="1F4E79"/>
          </w:tcPr>
          <w:p>
            <w:pPr>
              <w:jc w:val="center"/>
            </w:pPr>
            <w:r>
              <w:rPr>
                <w:rFonts w:ascii="Arial" w:hAnsi="Arial"/>
                <w:b/>
                <w:i w:val="0"/>
                <w:color w:val="FFFFFF"/>
                <w:sz w:val="18"/>
              </w:rPr>
              <w:t>Component</w:t>
            </w:r>
          </w:p>
        </w:tc>
        <w:tc>
          <w:tcPr>
            <w:tcW w:type="dxa" w:w="2835"/>
            <w:vAlign w:val="top"/>
            <w:shd w:val="clear" w:color="auto" w:fill="1F4E79"/>
          </w:tcPr>
          <w:p>
            <w:pPr>
              <w:jc w:val="center"/>
            </w:pPr>
            <w:r>
              <w:rPr>
                <w:rFonts w:ascii="Arial" w:hAnsi="Arial"/>
                <w:b/>
                <w:i w:val="0"/>
                <w:color w:val="FFFFFF"/>
                <w:sz w:val="18"/>
              </w:rPr>
              <w:t>Amount (₹ Crore)</w:t>
            </w:r>
          </w:p>
        </w:tc>
        <w:tc>
          <w:tcPr>
            <w:tcW w:type="dxa" w:w="2835"/>
            <w:vAlign w:val="top"/>
            <w:shd w:val="clear" w:color="auto" w:fill="1F4E79"/>
          </w:tcPr>
          <w:p>
            <w:pPr>
              <w:jc w:val="center"/>
            </w:pPr>
            <w:r>
              <w:rPr>
                <w:rFonts w:ascii="Arial" w:hAnsi="Arial"/>
                <w:b/>
                <w:i w:val="0"/>
                <w:color w:val="FFFFFF"/>
                <w:sz w:val="18"/>
              </w:rPr>
              <w:t>Risk Weighted Assets (₹ Crore)</w:t>
            </w:r>
          </w:p>
        </w:tc>
        <w:tc>
          <w:tcPr>
            <w:tcW w:type="dxa" w:w="1701"/>
            <w:vAlign w:val="top"/>
            <w:shd w:val="clear" w:color="auto" w:fill="1F4E79"/>
          </w:tcPr>
          <w:p>
            <w:pPr>
              <w:jc w:val="center"/>
            </w:pPr>
            <w:r>
              <w:rPr>
                <w:rFonts w:ascii="Arial" w:hAnsi="Arial"/>
                <w:b/>
                <w:i w:val="0"/>
                <w:color w:val="FFFFFF"/>
                <w:sz w:val="18"/>
              </w:rPr>
              <w:t>Ratio (%)</w:t>
            </w:r>
          </w:p>
        </w:tc>
      </w:tr>
      <w:tr>
        <w:tc>
          <w:tcPr>
            <w:tcW w:type="dxa" w:w="3969"/>
            <w:vAlign w:val="top"/>
          </w:tcPr>
          <w:p>
            <w:pPr>
              <w:jc w:val="left"/>
            </w:pPr>
            <w:r>
              <w:rPr>
                <w:rFonts w:ascii="Arial" w:hAnsi="Arial"/>
                <w:b w:val="0"/>
                <w:i w:val="0"/>
                <w:sz w:val="18"/>
              </w:rPr>
              <w:t>Common Equity Tier 1 (CET1)</w:t>
            </w:r>
          </w:p>
        </w:tc>
        <w:tc>
          <w:tcPr>
            <w:tcW w:type="dxa" w:w="2835"/>
            <w:vAlign w:val="top"/>
          </w:tcPr>
          <w:p>
            <w:pPr>
              <w:jc w:val="left"/>
            </w:pPr>
            <w:r>
              <w:rPr>
                <w:rFonts w:ascii="Arial" w:hAnsi="Arial"/>
                <w:b w:val="0"/>
                <w:i w:val="0"/>
                <w:sz w:val="18"/>
              </w:rPr>
              <w:t>[XX]</w:t>
            </w:r>
          </w:p>
        </w:tc>
        <w:tc>
          <w:tcPr>
            <w:tcW w:type="dxa" w:w="2835"/>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Additional Tier 1 (AT1)</w:t>
            </w:r>
          </w:p>
        </w:tc>
        <w:tc>
          <w:tcPr>
            <w:tcW w:type="dxa" w:w="2835"/>
            <w:vAlign w:val="top"/>
            <w:shd w:val="clear" w:color="auto" w:fill="EBF3FB"/>
          </w:tcPr>
          <w:p>
            <w:pPr>
              <w:jc w:val="left"/>
            </w:pPr>
            <w:r>
              <w:rPr>
                <w:rFonts w:ascii="Arial" w:hAnsi="Arial"/>
                <w:b w:val="0"/>
                <w:i w:val="0"/>
                <w:sz w:val="18"/>
              </w:rPr>
              <w:t>[XX]</w:t>
            </w:r>
          </w:p>
        </w:tc>
        <w:tc>
          <w:tcPr>
            <w:tcW w:type="dxa" w:w="2835"/>
            <w:vAlign w:val="top"/>
            <w:shd w:val="clear" w:color="auto" w:fill="EBF3FB"/>
          </w:tcPr>
          <w:p>
            <w:pPr>
              <w:jc w:val="left"/>
            </w:pPr>
            <w:r>
              <w:rPr>
                <w:rFonts w:ascii="Arial" w:hAnsi="Arial"/>
                <w:b w:val="0"/>
                <w:i w:val="0"/>
                <w:sz w:val="18"/>
              </w:rPr>
              <w:t>—</w:t>
            </w:r>
          </w:p>
        </w:tc>
        <w:tc>
          <w:tcPr>
            <w:tcW w:type="dxa" w:w="1701"/>
            <w:vAlign w:val="top"/>
            <w:shd w:val="clear" w:color="auto" w:fill="EBF3FB"/>
          </w:tcPr>
          <w:p>
            <w:pPr>
              <w:jc w:val="left"/>
            </w:pPr>
            <w:r>
              <w:rPr>
                <w:rFonts w:ascii="Arial" w:hAnsi="Arial"/>
                <w:b w:val="0"/>
                <w:i w:val="0"/>
                <w:sz w:val="18"/>
              </w:rPr>
              <w:t>—</w:t>
            </w:r>
          </w:p>
        </w:tc>
      </w:tr>
      <w:tr>
        <w:tc>
          <w:tcPr>
            <w:tcW w:type="dxa" w:w="3969"/>
            <w:vAlign w:val="top"/>
          </w:tcPr>
          <w:p>
            <w:pPr>
              <w:jc w:val="left"/>
            </w:pPr>
            <w:r>
              <w:rPr>
                <w:rFonts w:ascii="Arial" w:hAnsi="Arial"/>
                <w:b w:val="0"/>
                <w:i w:val="0"/>
                <w:sz w:val="18"/>
              </w:rPr>
              <w:t>Tier 1 Capital (CET1 + AT1)</w:t>
            </w:r>
          </w:p>
        </w:tc>
        <w:tc>
          <w:tcPr>
            <w:tcW w:type="dxa" w:w="2835"/>
            <w:vAlign w:val="top"/>
          </w:tcPr>
          <w:p>
            <w:pPr>
              <w:jc w:val="left"/>
            </w:pPr>
            <w:r>
              <w:rPr>
                <w:rFonts w:ascii="Arial" w:hAnsi="Arial"/>
                <w:b w:val="0"/>
                <w:i w:val="0"/>
                <w:sz w:val="18"/>
              </w:rPr>
              <w:t>[XX]</w:t>
            </w:r>
          </w:p>
        </w:tc>
        <w:tc>
          <w:tcPr>
            <w:tcW w:type="dxa" w:w="2835"/>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Tier 2 Capital</w:t>
            </w:r>
          </w:p>
        </w:tc>
        <w:tc>
          <w:tcPr>
            <w:tcW w:type="dxa" w:w="2835"/>
            <w:vAlign w:val="top"/>
            <w:shd w:val="clear" w:color="auto" w:fill="EBF3FB"/>
          </w:tcPr>
          <w:p>
            <w:pPr>
              <w:jc w:val="left"/>
            </w:pPr>
            <w:r>
              <w:rPr>
                <w:rFonts w:ascii="Arial" w:hAnsi="Arial"/>
                <w:b w:val="0"/>
                <w:i w:val="0"/>
                <w:sz w:val="18"/>
              </w:rPr>
              <w:t>[XX]</w:t>
            </w:r>
          </w:p>
        </w:tc>
        <w:tc>
          <w:tcPr>
            <w:tcW w:type="dxa" w:w="2835"/>
            <w:vAlign w:val="top"/>
            <w:shd w:val="clear" w:color="auto" w:fill="EBF3FB"/>
          </w:tcPr>
          <w:p>
            <w:pPr>
              <w:jc w:val="left"/>
            </w:pPr>
            <w:r>
              <w:rPr>
                <w:rFonts w:ascii="Arial" w:hAnsi="Arial"/>
                <w:b w:val="0"/>
                <w:i w:val="0"/>
                <w:sz w:val="18"/>
              </w:rPr>
              <w:t>—</w:t>
            </w:r>
          </w:p>
        </w:tc>
        <w:tc>
          <w:tcPr>
            <w:tcW w:type="dxa" w:w="1701"/>
            <w:vAlign w:val="top"/>
            <w:shd w:val="clear" w:color="auto" w:fill="EBF3FB"/>
          </w:tcPr>
          <w:p>
            <w:pPr>
              <w:jc w:val="left"/>
            </w:pPr>
            <w:r>
              <w:rPr>
                <w:rFonts w:ascii="Arial" w:hAnsi="Arial"/>
                <w:b w:val="0"/>
                <w:i w:val="0"/>
                <w:sz w:val="18"/>
              </w:rPr>
              <w:t>—</w:t>
            </w:r>
          </w:p>
        </w:tc>
      </w:tr>
      <w:tr>
        <w:tc>
          <w:tcPr>
            <w:tcW w:type="dxa" w:w="3969"/>
            <w:vAlign w:val="top"/>
          </w:tcPr>
          <w:p>
            <w:pPr>
              <w:jc w:val="left"/>
            </w:pPr>
            <w:r>
              <w:rPr>
                <w:rFonts w:ascii="Arial" w:hAnsi="Arial"/>
                <w:b w:val="0"/>
                <w:i w:val="0"/>
                <w:sz w:val="18"/>
              </w:rPr>
              <w:t>Total Capital (Tier 1 + Tier 2)</w:t>
            </w:r>
          </w:p>
        </w:tc>
        <w:tc>
          <w:tcPr>
            <w:tcW w:type="dxa" w:w="2835"/>
            <w:vAlign w:val="top"/>
          </w:tcPr>
          <w:p>
            <w:pPr>
              <w:jc w:val="left"/>
            </w:pPr>
            <w:r>
              <w:rPr>
                <w:rFonts w:ascii="Arial" w:hAnsi="Arial"/>
                <w:b w:val="0"/>
                <w:i w:val="0"/>
                <w:sz w:val="18"/>
              </w:rPr>
              <w:t>[XX]</w:t>
            </w:r>
          </w:p>
        </w:tc>
        <w:tc>
          <w:tcPr>
            <w:tcW w:type="dxa" w:w="2835"/>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Minimum Required (Basel III / RBI)</w:t>
            </w:r>
          </w:p>
        </w:tc>
        <w:tc>
          <w:tcPr>
            <w:tcW w:type="dxa" w:w="2835"/>
            <w:vAlign w:val="top"/>
            <w:shd w:val="clear" w:color="auto" w:fill="EBF3FB"/>
          </w:tcPr>
          <w:p>
            <w:pPr>
              <w:jc w:val="left"/>
            </w:pPr>
            <w:r>
              <w:rPr>
                <w:rFonts w:ascii="Arial" w:hAnsi="Arial"/>
                <w:b w:val="0"/>
                <w:i w:val="0"/>
                <w:sz w:val="18"/>
              </w:rPr>
              <w:t>—</w:t>
            </w:r>
          </w:p>
        </w:tc>
        <w:tc>
          <w:tcPr>
            <w:tcW w:type="dxa" w:w="2835"/>
            <w:vAlign w:val="top"/>
            <w:shd w:val="clear" w:color="auto" w:fill="EBF3FB"/>
          </w:tcPr>
          <w:p>
            <w:pPr>
              <w:jc w:val="left"/>
            </w:pPr>
            <w:r>
              <w:rPr>
                <w:rFonts w:ascii="Arial" w:hAnsi="Arial"/>
                <w:b w:val="0"/>
                <w:i w:val="0"/>
                <w:sz w:val="18"/>
              </w:rPr>
              <w:t>—</w:t>
            </w:r>
          </w:p>
        </w:tc>
        <w:tc>
          <w:tcPr>
            <w:tcW w:type="dxa" w:w="1701"/>
            <w:vAlign w:val="top"/>
            <w:shd w:val="clear" w:color="auto" w:fill="EBF3FB"/>
          </w:tcPr>
          <w:p>
            <w:pPr>
              <w:jc w:val="left"/>
            </w:pPr>
            <w:r>
              <w:rPr>
                <w:rFonts w:ascii="Arial" w:hAnsi="Arial"/>
                <w:b w:val="0"/>
                <w:i w:val="0"/>
                <w:sz w:val="18"/>
              </w:rPr>
              <w:t>11.5% (incl. CCB 2.5%)</w:t>
            </w:r>
          </w:p>
        </w:tc>
      </w:tr>
    </w:tbl>
    <w:p/>
    <w:p>
      <w:pPr>
        <w:spacing w:before="80" w:after="80"/>
        <w:jc w:val="left"/>
      </w:pPr>
      <w:r>
        <w:rPr>
          <w:rFonts w:ascii="Arial" w:hAnsi="Arial"/>
          <w:b w:val="0"/>
          <w:i w:val="0"/>
          <w:sz w:val="20"/>
        </w:rPr>
        <w:t>We have reviewed the CRAR computation prepared by management and tested the major risk-weighted asset categories against the underlying financial statement line items. [Observations if any.] A separate CRAR certificate is being issued in the format prescribed by RBI.</w:t>
      </w:r>
    </w:p>
    <w:p>
      <w:pPr>
        <w:spacing w:before="160" w:after="80"/>
      </w:pPr>
      <w:r>
        <w:rPr>
          <w:rFonts w:ascii="Arial" w:hAnsi="Arial"/>
          <w:b/>
          <w:i w:val="0"/>
          <w:sz w:val="26"/>
        </w:rPr>
        <w:t>SECTION J — REGULATORY COMPLIANCE</w:t>
      </w:r>
    </w:p>
    <w:p>
      <w:pPr>
        <w:spacing w:before="40" w:after="40"/>
        <w:pBdr>
          <w:bottom w:val="single" w:sz="6" w:space="1" w:color="1F4E79"/>
        </w:pBdr>
      </w:pPr>
    </w:p>
    <w:tbl>
      <w:tblPr>
        <w:tblStyle w:val="TableGrid"/>
        <w:tblW w:type="auto" w:w="0"/>
        <w:tblLook w:firstColumn="1" w:firstRow="1" w:lastColumn="0" w:lastRow="0" w:noHBand="0" w:noVBand="1" w:val="04A0"/>
      </w:tblPr>
      <w:tblGrid>
        <w:gridCol w:w="4857"/>
        <w:gridCol w:w="4857"/>
        <w:gridCol w:w="4857"/>
      </w:tblGrid>
      <w:tr>
        <w:tc>
          <w:tcPr>
            <w:tcW w:type="dxa" w:w="3969"/>
            <w:vAlign w:val="top"/>
            <w:shd w:val="clear" w:color="auto" w:fill="1F4E79"/>
          </w:tcPr>
          <w:p>
            <w:pPr>
              <w:jc w:val="center"/>
            </w:pPr>
            <w:r>
              <w:rPr>
                <w:rFonts w:ascii="Arial" w:hAnsi="Arial"/>
                <w:b/>
                <w:i w:val="0"/>
                <w:color w:val="FFFFFF"/>
                <w:sz w:val="18"/>
              </w:rPr>
              <w:t>Regulation / Requirement</w:t>
            </w:r>
          </w:p>
        </w:tc>
        <w:tc>
          <w:tcPr>
            <w:tcW w:type="dxa" w:w="2268"/>
            <w:vAlign w:val="top"/>
            <w:shd w:val="clear" w:color="auto" w:fill="1F4E79"/>
          </w:tcPr>
          <w:p>
            <w:pPr>
              <w:jc w:val="center"/>
            </w:pPr>
            <w:r>
              <w:rPr>
                <w:rFonts w:ascii="Arial" w:hAnsi="Arial"/>
                <w:b/>
                <w:i w:val="0"/>
                <w:color w:val="FFFFFF"/>
                <w:sz w:val="18"/>
              </w:rPr>
              <w:t>Compliance Status</w:t>
            </w:r>
          </w:p>
        </w:tc>
        <w:tc>
          <w:tcPr>
            <w:tcW w:type="dxa" w:w="5102"/>
            <w:vAlign w:val="top"/>
            <w:shd w:val="clear" w:color="auto" w:fill="1F4E79"/>
          </w:tcPr>
          <w:p>
            <w:pPr>
              <w:jc w:val="center"/>
            </w:pPr>
            <w:r>
              <w:rPr>
                <w:rFonts w:ascii="Arial" w:hAnsi="Arial"/>
                <w:b/>
                <w:i w:val="0"/>
                <w:color w:val="FFFFFF"/>
                <w:sz w:val="18"/>
              </w:rPr>
              <w:t>Remarks</w:t>
            </w:r>
          </w:p>
        </w:tc>
      </w:tr>
      <w:tr>
        <w:tc>
          <w:tcPr>
            <w:tcW w:type="dxa" w:w="3969"/>
            <w:vAlign w:val="top"/>
          </w:tcPr>
          <w:p>
            <w:pPr>
              <w:jc w:val="left"/>
            </w:pPr>
            <w:r>
              <w:rPr>
                <w:rFonts w:ascii="Arial" w:hAnsi="Arial"/>
                <w:b w:val="0"/>
                <w:i w:val="0"/>
                <w:sz w:val="18"/>
              </w:rPr>
              <w:t>CRR — Section 42, RBI Act</w:t>
            </w:r>
          </w:p>
        </w:tc>
        <w:tc>
          <w:tcPr>
            <w:tcW w:type="dxa" w:w="2268"/>
            <w:vAlign w:val="top"/>
          </w:tcPr>
          <w:p>
            <w:pPr>
              <w:jc w:val="left"/>
            </w:pPr>
            <w:r>
              <w:rPr>
                <w:rFonts w:ascii="Arial" w:hAnsi="Arial"/>
                <w:b w:val="0"/>
                <w:i w:val="0"/>
                <w:sz w:val="18"/>
              </w:rPr>
              <w:t>Compliant / Non-compliant</w:t>
            </w:r>
          </w:p>
        </w:tc>
        <w:tc>
          <w:tcPr>
            <w:tcW w:type="dxa" w:w="5102"/>
            <w:vAlign w:val="top"/>
          </w:tcPr>
          <w:p>
            <w:pPr>
              <w:jc w:val="left"/>
            </w:pPr>
            <w:r>
              <w:rPr>
                <w:rFonts w:ascii="Arial" w:hAnsi="Arial"/>
                <w:b w:val="0"/>
                <w:i w:val="0"/>
                <w:sz w:val="18"/>
              </w:rPr>
              <w:t>[Shortfall details if any]</w:t>
            </w:r>
          </w:p>
        </w:tc>
      </w:tr>
      <w:tr>
        <w:tc>
          <w:tcPr>
            <w:tcW w:type="dxa" w:w="3969"/>
            <w:vAlign w:val="top"/>
            <w:shd w:val="clear" w:color="auto" w:fill="EBF3FB"/>
          </w:tcPr>
          <w:p>
            <w:pPr>
              <w:jc w:val="left"/>
            </w:pPr>
            <w:r>
              <w:rPr>
                <w:rFonts w:ascii="Arial" w:hAnsi="Arial"/>
                <w:b w:val="0"/>
                <w:i w:val="0"/>
                <w:sz w:val="18"/>
              </w:rPr>
              <w:t>SLR — Section 24, BRA</w:t>
            </w:r>
          </w:p>
        </w:tc>
        <w:tc>
          <w:tcPr>
            <w:tcW w:type="dxa" w:w="2268"/>
            <w:vAlign w:val="top"/>
            <w:shd w:val="clear" w:color="auto" w:fill="EBF3FB"/>
          </w:tcPr>
          <w:p>
            <w:pPr>
              <w:jc w:val="left"/>
            </w:pPr>
            <w:r>
              <w:rPr>
                <w:rFonts w:ascii="Arial" w:hAnsi="Arial"/>
                <w:b w:val="0"/>
                <w:i w:val="0"/>
                <w:sz w:val="18"/>
              </w:rPr>
              <w:t>Compliant / Non-compliant</w:t>
            </w:r>
          </w:p>
        </w:tc>
        <w:tc>
          <w:tcPr>
            <w:tcW w:type="dxa" w:w="5102"/>
            <w:vAlign w:val="top"/>
            <w:shd w:val="clear" w:color="auto" w:fill="EBF3FB"/>
          </w:tcPr>
          <w:p>
            <w:pPr>
              <w:jc w:val="left"/>
            </w:pPr>
            <w:r>
              <w:rPr>
                <w:rFonts w:ascii="Arial" w:hAnsi="Arial"/>
                <w:b w:val="0"/>
                <w:i w:val="0"/>
                <w:sz w:val="18"/>
              </w:rPr>
              <w:t>[Shortfall details if any]</w:t>
            </w:r>
          </w:p>
        </w:tc>
      </w:tr>
      <w:tr>
        <w:tc>
          <w:tcPr>
            <w:tcW w:type="dxa" w:w="3969"/>
            <w:vAlign w:val="top"/>
          </w:tcPr>
          <w:p>
            <w:pPr>
              <w:jc w:val="left"/>
            </w:pPr>
            <w:r>
              <w:rPr>
                <w:rFonts w:ascii="Arial" w:hAnsi="Arial"/>
                <w:b w:val="0"/>
                <w:i w:val="0"/>
                <w:sz w:val="18"/>
              </w:rPr>
              <w:t>Exposure Norms (Single / Group Borrower)</w:t>
            </w:r>
          </w:p>
        </w:tc>
        <w:tc>
          <w:tcPr>
            <w:tcW w:type="dxa" w:w="2268"/>
            <w:vAlign w:val="top"/>
          </w:tcPr>
          <w:p>
            <w:pPr>
              <w:jc w:val="left"/>
            </w:pPr>
            <w:r>
              <w:rPr>
                <w:rFonts w:ascii="Arial" w:hAnsi="Arial"/>
                <w:b w:val="0"/>
                <w:i w:val="0"/>
                <w:sz w:val="18"/>
              </w:rPr>
              <w:t>Compliant / Non-compliant</w:t>
            </w:r>
          </w:p>
        </w:tc>
        <w:tc>
          <w:tcPr>
            <w:tcW w:type="dxa" w:w="5102"/>
            <w:vAlign w:val="top"/>
          </w:tcPr>
          <w:p>
            <w:pPr>
              <w:jc w:val="left"/>
            </w:pPr>
            <w:r>
              <w:rPr>
                <w:rFonts w:ascii="Arial" w:hAnsi="Arial"/>
                <w:b w:val="0"/>
                <w:i w:val="0"/>
                <w:sz w:val="18"/>
              </w:rPr>
              <w:t>[Excess exposure details if any]</w:t>
            </w:r>
          </w:p>
        </w:tc>
      </w:tr>
      <w:tr>
        <w:tc>
          <w:tcPr>
            <w:tcW w:type="dxa" w:w="3969"/>
            <w:vAlign w:val="top"/>
            <w:shd w:val="clear" w:color="auto" w:fill="EBF3FB"/>
          </w:tcPr>
          <w:p>
            <w:pPr>
              <w:jc w:val="left"/>
            </w:pPr>
            <w:r>
              <w:rPr>
                <w:rFonts w:ascii="Arial" w:hAnsi="Arial"/>
                <w:b w:val="0"/>
                <w:i w:val="0"/>
                <w:sz w:val="18"/>
              </w:rPr>
              <w:t>PSL Targets (40% of ANBC)</w:t>
            </w:r>
          </w:p>
        </w:tc>
        <w:tc>
          <w:tcPr>
            <w:tcW w:type="dxa" w:w="2268"/>
            <w:vAlign w:val="top"/>
            <w:shd w:val="clear" w:color="auto" w:fill="EBF3FB"/>
          </w:tcPr>
          <w:p>
            <w:pPr>
              <w:jc w:val="left"/>
            </w:pPr>
            <w:r>
              <w:rPr>
                <w:rFonts w:ascii="Arial" w:hAnsi="Arial"/>
                <w:b w:val="0"/>
                <w:i w:val="0"/>
                <w:sz w:val="18"/>
              </w:rPr>
              <w:t>Achieved / Not achieved — [XX]% achieved</w:t>
            </w:r>
          </w:p>
        </w:tc>
        <w:tc>
          <w:tcPr>
            <w:tcW w:type="dxa" w:w="5102"/>
            <w:vAlign w:val="top"/>
            <w:shd w:val="clear" w:color="auto" w:fill="EBF3FB"/>
          </w:tcPr>
          <w:p>
            <w:pPr>
              <w:jc w:val="left"/>
            </w:pPr>
            <w:r>
              <w:rPr>
                <w:rFonts w:ascii="Arial" w:hAnsi="Arial"/>
                <w:b w:val="0"/>
                <w:i w:val="0"/>
                <w:sz w:val="18"/>
              </w:rPr>
              <w:t>[Shortfall and RIDF/investment details]</w:t>
            </w:r>
          </w:p>
        </w:tc>
      </w:tr>
      <w:tr>
        <w:tc>
          <w:tcPr>
            <w:tcW w:type="dxa" w:w="3969"/>
            <w:vAlign w:val="top"/>
          </w:tcPr>
          <w:p>
            <w:pPr>
              <w:jc w:val="left"/>
            </w:pPr>
            <w:r>
              <w:rPr>
                <w:rFonts w:ascii="Arial" w:hAnsi="Arial"/>
                <w:b w:val="0"/>
                <w:i w:val="0"/>
                <w:sz w:val="18"/>
              </w:rPr>
              <w:t>KYC / AML (RBI Master Direction)</w:t>
            </w:r>
          </w:p>
        </w:tc>
        <w:tc>
          <w:tcPr>
            <w:tcW w:type="dxa" w:w="2268"/>
            <w:vAlign w:val="top"/>
          </w:tcPr>
          <w:p>
            <w:pPr>
              <w:jc w:val="left"/>
            </w:pPr>
            <w:r>
              <w:rPr>
                <w:rFonts w:ascii="Arial" w:hAnsi="Arial"/>
                <w:b w:val="0"/>
                <w:i w:val="0"/>
                <w:sz w:val="18"/>
              </w:rPr>
              <w:t>Compliant / Non-compliant</w:t>
            </w:r>
          </w:p>
        </w:tc>
        <w:tc>
          <w:tcPr>
            <w:tcW w:type="dxa" w:w="5102"/>
            <w:vAlign w:val="top"/>
          </w:tcPr>
          <w:p>
            <w:pPr>
              <w:jc w:val="left"/>
            </w:pPr>
            <w:r>
              <w:rPr>
                <w:rFonts w:ascii="Arial" w:hAnsi="Arial"/>
                <w:b w:val="0"/>
                <w:i w:val="0"/>
                <w:sz w:val="18"/>
              </w:rPr>
              <w:t>[Non-compliant accounts details]</w:t>
            </w:r>
          </w:p>
        </w:tc>
      </w:tr>
      <w:tr>
        <w:tc>
          <w:tcPr>
            <w:tcW w:type="dxa" w:w="3969"/>
            <w:vAlign w:val="top"/>
            <w:shd w:val="clear" w:color="auto" w:fill="EBF3FB"/>
          </w:tcPr>
          <w:p>
            <w:pPr>
              <w:jc w:val="left"/>
            </w:pPr>
            <w:r>
              <w:rPr>
                <w:rFonts w:ascii="Arial" w:hAnsi="Arial"/>
                <w:b w:val="0"/>
                <w:i w:val="0"/>
                <w:sz w:val="18"/>
              </w:rPr>
              <w:t>FEMA Compliance (AD Category)</w:t>
            </w:r>
          </w:p>
        </w:tc>
        <w:tc>
          <w:tcPr>
            <w:tcW w:type="dxa" w:w="2268"/>
            <w:vAlign w:val="top"/>
            <w:shd w:val="clear" w:color="auto" w:fill="EBF3FB"/>
          </w:tcPr>
          <w:p>
            <w:pPr>
              <w:jc w:val="left"/>
            </w:pPr>
            <w:r>
              <w:rPr>
                <w:rFonts w:ascii="Arial" w:hAnsi="Arial"/>
                <w:b w:val="0"/>
                <w:i w:val="0"/>
                <w:sz w:val="18"/>
              </w:rPr>
              <w:t>Compliant / Non-compliant</w:t>
            </w:r>
          </w:p>
        </w:tc>
        <w:tc>
          <w:tcPr>
            <w:tcW w:type="dxa" w:w="5102"/>
            <w:vAlign w:val="top"/>
            <w:shd w:val="clear" w:color="auto" w:fill="EBF3FB"/>
          </w:tcPr>
          <w:p>
            <w:pPr>
              <w:jc w:val="left"/>
            </w:pPr>
            <w:r>
              <w:rPr>
                <w:rFonts w:ascii="Arial" w:hAnsi="Arial"/>
                <w:b w:val="0"/>
                <w:i w:val="0"/>
                <w:sz w:val="18"/>
              </w:rPr>
              <w:t>[Specific observations]</w:t>
            </w:r>
          </w:p>
        </w:tc>
      </w:tr>
      <w:tr>
        <w:tc>
          <w:tcPr>
            <w:tcW w:type="dxa" w:w="3969"/>
            <w:vAlign w:val="top"/>
          </w:tcPr>
          <w:p>
            <w:pPr>
              <w:jc w:val="left"/>
            </w:pPr>
            <w:r>
              <w:rPr>
                <w:rFonts w:ascii="Arial" w:hAnsi="Arial"/>
                <w:b w:val="0"/>
                <w:i w:val="0"/>
                <w:sz w:val="18"/>
              </w:rPr>
              <w:t>Section 20 BRA — Restrictions on Loans to Directors</w:t>
            </w:r>
          </w:p>
        </w:tc>
        <w:tc>
          <w:tcPr>
            <w:tcW w:type="dxa" w:w="2268"/>
            <w:vAlign w:val="top"/>
          </w:tcPr>
          <w:p>
            <w:pPr>
              <w:jc w:val="left"/>
            </w:pPr>
            <w:r>
              <w:rPr>
                <w:rFonts w:ascii="Arial" w:hAnsi="Arial"/>
                <w:b w:val="0"/>
                <w:i w:val="0"/>
                <w:sz w:val="18"/>
              </w:rPr>
              <w:t>Compliant</w:t>
            </w:r>
          </w:p>
        </w:tc>
        <w:tc>
          <w:tcPr>
            <w:tcW w:type="dxa" w:w="5102"/>
            <w:vAlign w:val="top"/>
          </w:tcPr>
          <w:p>
            <w:pPr>
              <w:jc w:val="left"/>
            </w:pPr>
            <w:r>
              <w:rPr>
                <w:rFonts w:ascii="Arial" w:hAnsi="Arial"/>
                <w:b w:val="0"/>
                <w:i w:val="0"/>
                <w:sz w:val="18"/>
              </w:rPr>
              <w:t>No loans to directors or their relatives noted above prescribed limits.</w:t>
            </w:r>
          </w:p>
        </w:tc>
      </w:tr>
    </w:tbl>
    <w:p/>
    <w:p>
      <w:pPr>
        <w:spacing w:before="160" w:after="80"/>
      </w:pPr>
      <w:r>
        <w:rPr>
          <w:rFonts w:ascii="Arial" w:hAnsi="Arial"/>
          <w:b/>
          <w:i w:val="0"/>
          <w:sz w:val="26"/>
        </w:rPr>
        <w:t>SECTION K — OTHER MATTERS</w:t>
      </w:r>
    </w:p>
    <w:p>
      <w:pPr>
        <w:spacing w:before="40" w:after="40"/>
        <w:pBdr>
          <w:bottom w:val="single" w:sz="6" w:space="1" w:color="1F4E79"/>
        </w:pBdr>
      </w:pPr>
    </w:p>
    <w:p>
      <w:pPr>
        <w:spacing w:before="80" w:after="80"/>
        <w:jc w:val="left"/>
      </w:pPr>
      <w:r>
        <w:rPr>
          <w:rFonts w:ascii="Arial" w:hAnsi="Arial"/>
          <w:b w:val="0"/>
          <w:i w:val="0"/>
          <w:sz w:val="20"/>
        </w:rPr>
        <w:t>a) Books of Account: In our opinion, the books of account maintained by the Bank are in accordance with the requirements of Section 209 / 128 of the Companies Act, 2013 and the Banking Regulation Act, 1949.</w:t>
      </w:r>
    </w:p>
    <w:p>
      <w:pPr>
        <w:spacing w:before="80" w:after="80"/>
        <w:jc w:val="left"/>
      </w:pPr>
      <w:r>
        <w:rPr>
          <w:rFonts w:ascii="Arial" w:hAnsi="Arial"/>
          <w:b w:val="0"/>
          <w:i w:val="0"/>
          <w:sz w:val="20"/>
        </w:rPr>
        <w:t>b) Related Party Transactions: Related party transactions have been disclosed in Note [XX] to the financial statements in accordance with AS 18 / Ind AS 24. Transactions with directors, KMPs, and their relatives have been reviewed and no transactions contrary to the interests of the Bank or outside the ordinary course of business have been noted.</w:t>
      </w:r>
    </w:p>
    <w:p>
      <w:pPr>
        <w:spacing w:before="80" w:after="80"/>
        <w:jc w:val="left"/>
      </w:pPr>
      <w:r>
        <w:rPr>
          <w:rFonts w:ascii="Arial" w:hAnsi="Arial"/>
          <w:b w:val="0"/>
          <w:i w:val="0"/>
          <w:sz w:val="20"/>
        </w:rPr>
        <w:t>c) Going Concern: No material uncertainty relating to the Bank's ability to continue as a going concern has been noted. The Bank's CRAR is above the regulatory minimum and there are no significant liquidity concerns.</w:t>
      </w:r>
    </w:p>
    <w:p>
      <w:pPr>
        <w:spacing w:before="80" w:after="80"/>
        <w:jc w:val="left"/>
      </w:pPr>
      <w:r>
        <w:rPr>
          <w:rFonts w:ascii="Arial" w:hAnsi="Arial"/>
          <w:b w:val="0"/>
          <w:i w:val="0"/>
          <w:sz w:val="20"/>
        </w:rPr>
        <w:t>d) Pending Litigation: Contingent liabilities on account of pending litigation, disputed taxes, and guarantees are disclosed in Schedule 12 and Note [XX]. The estimates appear reasonable based on the information available and management's representations.</w:t>
      </w:r>
    </w:p>
    <w:p>
      <w:pPr>
        <w:spacing w:before="80" w:after="80"/>
        <w:jc w:val="left"/>
      </w:pPr>
      <w:r>
        <w:rPr>
          <w:rFonts w:ascii="Arial" w:hAnsi="Arial"/>
          <w:b w:val="0"/>
          <w:i w:val="0"/>
          <w:sz w:val="20"/>
        </w:rPr>
        <w:t>e) Subsequent Events: We have enquired about events occurring between the balance sheet date and the date of this report. [No material subsequent events / The following subsequent event requires disclosure — details below.]</w:t>
      </w:r>
    </w:p>
    <w:p/>
    <w:p>
      <w:pPr>
        <w:spacing w:before="40" w:after="40"/>
        <w:pBdr>
          <w:bottom w:val="single" w:sz="6" w:space="1" w:color="1F4E79"/>
        </w:pBdr>
      </w:pPr>
    </w:p>
    <w:p>
      <w:pPr>
        <w:spacing w:before="80" w:after="80"/>
        <w:jc w:val="left"/>
      </w:pPr>
      <w:r>
        <w:rPr>
          <w:rFonts w:ascii="Arial" w:hAnsi="Arial"/>
          <w:b w:val="0"/>
          <w:i/>
          <w:sz w:val="18"/>
        </w:rPr>
        <w:t>This Long Form Audit Report is intended solely for the use of the Board of Directors of [Name of the Bank] and is not to be used for any other purpose or distributed to any other party without our prior written consent.</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footerReference w:type="default" r:id="rId10"/>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Kunstler Script" w:hAnsi="Kunstler Script"/>
              <w:b/>
              <w:sz w:val="22"/>
            </w:rPr>
            <w:t>Varma &amp; Varma</w:t>
          </w:r>
        </w:p>
      </w:tc>
      <w:tc>
        <w:tcPr>
          <w:tcW w:type="dxa" w:w="7285"/>
          <w:tcBorders>
            <w:top w:val="none"/>
            <w:left w:val="none"/>
            <w:bottom w:val="none"/>
            <w:right w:val="none"/>
          </w:tcBorders>
        </w:tcPr>
        <w:p>
          <w:pPr>
            <w:jc w:val="right"/>
          </w:pPr>
          <w:r>
            <w:rPr>
              <w:rFonts w:ascii="Arial" w:hAnsi="Arial"/>
              <w:b w:val="0"/>
              <w:i w:val="0"/>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Long Form Audit Report — Banks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CC7234-B4E8-4A22-A3C0-818F134F7860}"/>
</file>

<file path=customXml/itemProps3.xml><?xml version="1.0" encoding="utf-8"?>
<ds:datastoreItem xmlns:ds="http://schemas.openxmlformats.org/officeDocument/2006/customXml" ds:itemID="{6B52989E-2550-4FF3-8450-C2108504D3A0}"/>
</file>

<file path=customXml/itemProps4.xml><?xml version="1.0" encoding="utf-8"?>
<ds:datastoreItem xmlns:ds="http://schemas.openxmlformats.org/officeDocument/2006/customXml" ds:itemID="{08A46286-4E34-4EC6-8195-BE968540D8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