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6"/>
        </w:rPr>
        <w:t>INDEPENDENT AUDITOR'S REPORT</w:t>
      </w:r>
    </w:p>
    <w:p>
      <w:pPr>
        <w:spacing w:before="80" w:after="80"/>
        <w:jc w:val="left"/>
      </w:pPr>
      <w:r>
        <w:rPr>
          <w:rFonts w:ascii="Arial" w:hAnsi="Arial"/>
          <w:b/>
          <w:i w:val="0"/>
          <w:sz w:val="22"/>
        </w:rPr>
        <w:t>To the Members of [Name of the Bank]</w:t>
      </w:r>
    </w:p>
    <w:p>
      <w:pPr>
        <w:spacing w:before="40" w:after="40"/>
        <w:pBdr>
          <w:bottom w:val="single" w:sz="6" w:space="1" w:color="1F4E79"/>
        </w:pBdr>
      </w:pPr>
    </w:p>
    <w:p/>
    <w:p>
      <w:pPr>
        <w:spacing w:before="160" w:after="80"/>
      </w:pPr>
      <w:r>
        <w:rPr>
          <w:rFonts w:ascii="Arial" w:hAnsi="Arial"/>
          <w:b/>
          <w:i w:val="0"/>
          <w:sz w:val="26"/>
        </w:rPr>
        <w:t>REPORT ON THE AUDIT OF THE FINANCIAL STATEMENTS</w:t>
      </w:r>
    </w:p>
    <w:p>
      <w:pPr>
        <w:spacing w:before="160" w:after="80"/>
      </w:pPr>
      <w:r>
        <w:rPr>
          <w:rFonts w:ascii="Arial" w:hAnsi="Arial"/>
          <w:b/>
          <w:i w:val="0"/>
          <w:sz w:val="22"/>
        </w:rPr>
        <w:t>Opinion</w:t>
      </w:r>
    </w:p>
    <w:p>
      <w:pPr>
        <w:spacing w:before="80" w:after="80"/>
        <w:jc w:val="left"/>
      </w:pPr>
      <w:r>
        <w:rPr>
          <w:rFonts w:ascii="Arial" w:hAnsi="Arial"/>
          <w:b w:val="0"/>
          <w:i w:val="0"/>
          <w:sz w:val="20"/>
        </w:rPr>
        <w:t>We have audited the accompanying financial statements of [Name of the Bank] ('the Bank'), which comprise the Balance Sheet as at 31st March 20XX, and the Profit and Loss Account and the Cash Flow Statement for the year then ended, and notes to the financial statements, including material accounting policies and other explanatory information.</w:t>
      </w:r>
    </w:p>
    <w:p>
      <w:pPr>
        <w:spacing w:before="80" w:after="80"/>
        <w:jc w:val="left"/>
      </w:pPr>
      <w:r>
        <w:rPr>
          <w:rFonts w:ascii="Arial" w:hAnsi="Arial"/>
          <w:b w:val="0"/>
          <w:i w:val="0"/>
          <w:sz w:val="20"/>
        </w:rPr>
        <w:t>In our opinion and to the best of our information and according to the explanations given to us, the aforesaid financial statements give the information required by the Banking Regulation Act, 1949 as well as the Companies Act, 2013 ('the Act') in the manner so required for banking companies and give a true and fair view in conformity with the accounting principles generally accepted in India:</w:t>
      </w:r>
    </w:p>
    <w:p>
      <w:pPr>
        <w:spacing w:before="80" w:after="80"/>
        <w:jc w:val="left"/>
      </w:pPr>
      <w:r>
        <w:rPr>
          <w:rFonts w:ascii="Arial" w:hAnsi="Arial"/>
          <w:b w:val="0"/>
          <w:i w:val="0"/>
          <w:sz w:val="20"/>
        </w:rPr>
        <w:t>i.   in the case of the Balance Sheet, of the state of affairs of the Bank as at 31st March 20XX;</w:t>
      </w:r>
    </w:p>
    <w:p>
      <w:pPr>
        <w:spacing w:before="80" w:after="80"/>
        <w:jc w:val="left"/>
      </w:pPr>
      <w:r>
        <w:rPr>
          <w:rFonts w:ascii="Arial" w:hAnsi="Arial"/>
          <w:b w:val="0"/>
          <w:i w:val="0"/>
          <w:sz w:val="20"/>
        </w:rPr>
        <w:t>ii.  in the case of the Profit and Loss Account, of the profit / loss of the Bank for the year ended on that date; and</w:t>
      </w:r>
    </w:p>
    <w:p>
      <w:pPr>
        <w:spacing w:before="80" w:after="80"/>
        <w:jc w:val="left"/>
      </w:pPr>
      <w:r>
        <w:rPr>
          <w:rFonts w:ascii="Arial" w:hAnsi="Arial"/>
          <w:b w:val="0"/>
          <w:i w:val="0"/>
          <w:sz w:val="20"/>
        </w:rPr>
        <w:t>iii. in the case of the Cash Flow Statement, of the cash flows of the Bank for the year ended on that date.</w:t>
      </w:r>
    </w:p>
    <w:p>
      <w:pPr>
        <w:spacing w:before="160" w:after="80"/>
      </w:pPr>
      <w:r>
        <w:rPr>
          <w:rFonts w:ascii="Arial" w:hAnsi="Arial"/>
          <w:b/>
          <w:i w:val="0"/>
          <w:sz w:val="22"/>
        </w:rPr>
        <w:t>Basis for Opinion</w:t>
      </w:r>
    </w:p>
    <w:p>
      <w:pPr>
        <w:spacing w:before="80" w:after="80"/>
        <w:jc w:val="left"/>
      </w:pPr>
      <w:r>
        <w:rPr>
          <w:rFonts w:ascii="Arial" w:hAnsi="Arial"/>
          <w:b w:val="0"/>
          <w:i w:val="0"/>
          <w:sz w:val="20"/>
        </w:rPr>
        <w:t>We conducted our audit in accordance with the Standards on Auditing (SAs) specified under Section 143(10) of the Act. Our responsibilities under those Standards are further described in the Auditor's Responsibilities for the Audit of the Financial Statements section of our report. We are independent of the Bank in accordance with the Code of Ethics issued by the Institute of Chartered Accountants of India together with the ethical requirements that are relevant to our audit of the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w:t>
      </w:r>
    </w:p>
    <w:p>
      <w:pPr>
        <w:spacing w:before="160" w:after="80"/>
      </w:pPr>
      <w:r>
        <w:rPr>
          <w:rFonts w:ascii="Arial" w:hAnsi="Arial"/>
          <w:b/>
          <w:i w:val="0"/>
          <w:sz w:val="22"/>
        </w:rPr>
        <w:t>Key Audit Matters</w:t>
      </w:r>
    </w:p>
    <w:p>
      <w:pPr>
        <w:spacing w:before="80" w:after="80"/>
        <w:jc w:val="left"/>
      </w:pPr>
      <w:r>
        <w:rPr>
          <w:rFonts w:ascii="Arial" w:hAnsi="Arial"/>
          <w:b w:val="0"/>
          <w:i w:val="0"/>
          <w:sz w:val="20"/>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tbl>
      <w:tblPr>
        <w:tblStyle w:val="TableGrid"/>
        <w:tblW w:type="auto" w:w="0"/>
        <w:tblLook w:firstColumn="1" w:firstRow="1" w:lastColumn="0" w:lastRow="0" w:noHBand="0" w:noVBand="1" w:val="04A0"/>
      </w:tblPr>
      <w:tblGrid>
        <w:gridCol w:w="7285"/>
        <w:gridCol w:w="7285"/>
      </w:tblGrid>
      <w:tr>
        <w:tc>
          <w:tcPr>
            <w:tcW w:type="dxa" w:w="4535"/>
            <w:vAlign w:val="top"/>
            <w:shd w:val="clear" w:color="auto" w:fill="1F4E79"/>
          </w:tcPr>
          <w:p>
            <w:pPr>
              <w:jc w:val="center"/>
            </w:pPr>
            <w:r>
              <w:rPr>
                <w:rFonts w:ascii="Arial" w:hAnsi="Arial"/>
                <w:b/>
                <w:i w:val="0"/>
                <w:color w:val="FFFFFF"/>
                <w:sz w:val="18"/>
              </w:rPr>
              <w:t>Key Audit Matter</w:t>
            </w:r>
          </w:p>
        </w:tc>
        <w:tc>
          <w:tcPr>
            <w:tcW w:type="dxa" w:w="6803"/>
            <w:vAlign w:val="top"/>
            <w:shd w:val="clear" w:color="auto" w:fill="1F4E79"/>
          </w:tcPr>
          <w:p>
            <w:pPr>
              <w:jc w:val="center"/>
            </w:pPr>
            <w:r>
              <w:rPr>
                <w:rFonts w:ascii="Arial" w:hAnsi="Arial"/>
                <w:b/>
                <w:i w:val="0"/>
                <w:color w:val="FFFFFF"/>
                <w:sz w:val="18"/>
              </w:rPr>
              <w:t>How Our Audit Addressed the Matter</w:t>
            </w:r>
          </w:p>
        </w:tc>
      </w:tr>
      <w:tr>
        <w:tc>
          <w:tcPr>
            <w:tcW w:type="dxa" w:w="4535"/>
            <w:vAlign w:val="top"/>
          </w:tcPr>
          <w:p>
            <w:pPr>
              <w:jc w:val="left"/>
            </w:pPr>
            <w:r>
              <w:rPr>
                <w:rFonts w:ascii="Arial" w:hAnsi="Arial"/>
                <w:b w:val="0"/>
                <w:i w:val="0"/>
                <w:sz w:val="18"/>
              </w:rPr>
              <w:t>1. Identification and Provisioning for Non-Performing Assets (NPAs)</w:t>
              <w:br/>
              <w:br/>
              <w:t>Classification of loans as NPA and computation of provisions in accordance with RBI IRACP norms involves significant judgment, particularly for accounts near the 90-day overdue threshold, restructured accounts, and accounts with fraud indicators. The total gross NPA ratio is [XX]% of gross advances.</w:t>
            </w:r>
          </w:p>
        </w:tc>
        <w:tc>
          <w:tcPr>
            <w:tcW w:type="dxa" w:w="6803"/>
            <w:vAlign w:val="top"/>
          </w:tcPr>
          <w:p>
            <w:pPr>
              <w:jc w:val="left"/>
            </w:pPr>
            <w:r>
              <w:rPr>
                <w:rFonts w:ascii="Arial" w:hAnsi="Arial"/>
                <w:b w:val="0"/>
                <w:i w:val="0"/>
                <w:sz w:val="18"/>
              </w:rPr>
              <w:t>We reviewed the Bank's NPA identification process and tested a risk-based sample of [XX] loan accounts against the CBS ageing data and the IRACP norms. We assessed the adequacy of provisions by recomputing provision requirements for the sampled accounts. We reviewed the Bank's Board-approved provisioning policy and tested its consistent application.</w:t>
            </w:r>
          </w:p>
        </w:tc>
      </w:tr>
      <w:tr>
        <w:tc>
          <w:tcPr>
            <w:tcW w:type="dxa" w:w="4535"/>
            <w:vAlign w:val="top"/>
            <w:shd w:val="clear" w:color="auto" w:fill="EBF3FB"/>
          </w:tcPr>
          <w:p>
            <w:pPr>
              <w:jc w:val="left"/>
            </w:pPr>
            <w:r>
              <w:rPr>
                <w:rFonts w:ascii="Arial" w:hAnsi="Arial"/>
                <w:b w:val="0"/>
                <w:i w:val="0"/>
                <w:sz w:val="18"/>
              </w:rPr>
              <w:t>2. Valuation of Investment Portfolio (AFS &amp; HFT)</w:t>
              <w:br/>
              <w:br/>
              <w:t>The AFS and HFT investment portfolio aggregating ₹[XX] crore is marked to market at each reporting date. The valuation requires reference to FIMMDA/FBIL prices and involves judgment for illiquid / thinly traded securities.</w:t>
            </w:r>
          </w:p>
        </w:tc>
        <w:tc>
          <w:tcPr>
            <w:tcW w:type="dxa" w:w="6803"/>
            <w:vAlign w:val="top"/>
            <w:shd w:val="clear" w:color="auto" w:fill="EBF3FB"/>
          </w:tcPr>
          <w:p>
            <w:pPr>
              <w:jc w:val="left"/>
            </w:pPr>
            <w:r>
              <w:rPr>
                <w:rFonts w:ascii="Arial" w:hAnsi="Arial"/>
                <w:b w:val="0"/>
                <w:i w:val="0"/>
                <w:sz w:val="18"/>
              </w:rPr>
              <w:t>We obtained the closing price list from FIMMDA/FBIL as at 31st March 20XX and independently re-priced a representative sample of [XX] securities. We reviewed the treatment of any securities for which external prices were unavailable.</w:t>
            </w:r>
          </w:p>
        </w:tc>
      </w:tr>
      <w:tr>
        <w:tc>
          <w:tcPr>
            <w:tcW w:type="dxa" w:w="4535"/>
            <w:vAlign w:val="top"/>
          </w:tcPr>
          <w:p>
            <w:pPr>
              <w:jc w:val="left"/>
            </w:pPr>
            <w:r>
              <w:rPr>
                <w:rFonts w:ascii="Arial" w:hAnsi="Arial"/>
                <w:b w:val="0"/>
                <w:i w:val="0"/>
                <w:sz w:val="18"/>
              </w:rPr>
              <w:t>3. Information Technology — CBS Dependence</w:t>
              <w:br/>
              <w:br/>
              <w:t>The Bank's financial reporting is heavily dependent on the Core Banking System. Incorrect data or unauthorised access to the CBS could lead to material misstatement.</w:t>
            </w:r>
          </w:p>
        </w:tc>
        <w:tc>
          <w:tcPr>
            <w:tcW w:type="dxa" w:w="6803"/>
            <w:vAlign w:val="top"/>
          </w:tcPr>
          <w:p>
            <w:pPr>
              <w:jc w:val="left"/>
            </w:pPr>
            <w:r>
              <w:rPr>
                <w:rFonts w:ascii="Arial" w:hAnsi="Arial"/>
                <w:b w:val="0"/>
                <w:i w:val="0"/>
                <w:sz w:val="18"/>
              </w:rPr>
              <w:t>We reviewed IT General Controls (access management, change management, data backup) and performed reconciliation of CBS-generated reports to the financial statements. Where ITGC reliance was placed, we performed supplemental substantive procedures.</w:t>
            </w:r>
          </w:p>
        </w:tc>
      </w:tr>
    </w:tbl>
    <w:p/>
    <w:p>
      <w:pPr>
        <w:spacing w:before="160" w:after="80"/>
      </w:pPr>
      <w:r>
        <w:rPr>
          <w:rFonts w:ascii="Arial" w:hAnsi="Arial"/>
          <w:b/>
          <w:i w:val="0"/>
          <w:sz w:val="22"/>
        </w:rPr>
        <w:t>Information Other than the Financial Statements and Auditor's Report Thereon</w:t>
      </w:r>
    </w:p>
    <w:p>
      <w:pPr>
        <w:spacing w:before="80" w:after="80"/>
        <w:jc w:val="left"/>
      </w:pPr>
      <w:r>
        <w:rPr>
          <w:rFonts w:ascii="Arial" w:hAnsi="Arial"/>
          <w:b w:val="0"/>
          <w:i w:val="0"/>
          <w:sz w:val="20"/>
        </w:rPr>
        <w:t>The Bank's Board of Directors is responsible for the other information. The other information comprises the information included in the Annual Report but does not include the financial statements and our auditor's report thereon. Our opinion on the financial statements does not cover the other information and we do not express any form of assurance conclusion thereon.</w:t>
      </w:r>
    </w:p>
    <w:p>
      <w:pPr>
        <w:spacing w:before="160" w:after="80"/>
      </w:pPr>
      <w:r>
        <w:rPr>
          <w:rFonts w:ascii="Arial" w:hAnsi="Arial"/>
          <w:b/>
          <w:i w:val="0"/>
          <w:sz w:val="22"/>
        </w:rPr>
        <w:t>Responsibilities of Management and Those Charged with Governance for the Financial Statements</w:t>
      </w:r>
    </w:p>
    <w:p>
      <w:pPr>
        <w:spacing w:before="80" w:after="80"/>
        <w:jc w:val="left"/>
      </w:pPr>
      <w:r>
        <w:rPr>
          <w:rFonts w:ascii="Arial" w:hAnsi="Arial"/>
          <w:b w:val="0"/>
          <w:i w:val="0"/>
          <w:sz w:val="20"/>
        </w:rPr>
        <w:t>The Board of Directors of the Bank is responsible for the matters stated in Section 134(5) of the Companies Act, 2013 and Section 29 of the Banking Regulation Act, 1949 with respect to the preparation of these financial statements that give a true and fair view of the financial position, financial performance and cash flows of the Bank in accordance with the accounting principles generally accepted in India, including the Accounting Standards specified under Section 133 of the Act. This responsibility also includes maintenance of adequate accounting records in accordance with the provisions of the Act for safeguarding of the assets of the Bank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pPr>
        <w:spacing w:before="160" w:after="80"/>
      </w:pPr>
      <w:r>
        <w:rPr>
          <w:rFonts w:ascii="Arial" w:hAnsi="Arial"/>
          <w:b/>
          <w:i w:val="0"/>
          <w:sz w:val="22"/>
        </w:rPr>
        <w:t>Auditor's Responsibilities for the Audit of the Financial Statements</w:t>
      </w:r>
    </w:p>
    <w:p>
      <w:pPr>
        <w:spacing w:before="80" w:after="80"/>
        <w:jc w:val="left"/>
      </w:pPr>
      <w:r>
        <w:rPr>
          <w:rFonts w:ascii="Arial" w:hAnsi="Arial"/>
          <w:b w:val="0"/>
          <w:i w:val="0"/>
          <w:sz w:val="20"/>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w:t>
      </w:r>
    </w:p>
    <w:p>
      <w:pPr>
        <w:spacing w:before="80" w:after="80"/>
        <w:jc w:val="left"/>
      </w:pPr>
      <w:r>
        <w:rPr>
          <w:rFonts w:ascii="Arial" w:hAnsi="Arial"/>
          <w:b w:val="0"/>
          <w:i w:val="0"/>
          <w:sz w:val="20"/>
        </w:rPr>
        <w:t>As part of an audit in accordance with SAs, we exercise professional judgment and maintain professional skepticism throughout the audit. We also perform the procedures required by SA 240 — The Auditor's Responsibilities Relating to Fraud in an Audit of Financial Statements, including mandatory procedures for the two presumed fraud risks: (i) revenue recognition, and (ii) management override of controls.</w:t>
      </w:r>
    </w:p>
    <w:p>
      <w:pPr>
        <w:spacing w:before="160" w:after="80"/>
      </w:pPr>
      <w:r>
        <w:rPr>
          <w:rFonts w:ascii="Arial" w:hAnsi="Arial"/>
          <w:b/>
          <w:i w:val="0"/>
          <w:sz w:val="22"/>
        </w:rPr>
        <w:t>Report on Other Legal and Regulatory Requirements</w:t>
      </w:r>
    </w:p>
    <w:p>
      <w:pPr>
        <w:spacing w:before="160" w:after="80"/>
      </w:pPr>
      <w:r>
        <w:rPr>
          <w:rFonts w:ascii="Arial" w:hAnsi="Arial"/>
          <w:b/>
          <w:i w:val="0"/>
          <w:sz w:val="20"/>
        </w:rPr>
        <w:t>I. Report under Section 30 of the Banking Regulation Act, 1949</w:t>
      </w:r>
    </w:p>
    <w:p>
      <w:pPr>
        <w:spacing w:before="80" w:after="80"/>
        <w:jc w:val="left"/>
      </w:pPr>
      <w:r>
        <w:rPr>
          <w:rFonts w:ascii="Arial" w:hAnsi="Arial"/>
          <w:b w:val="0"/>
          <w:i w:val="0"/>
          <w:sz w:val="20"/>
        </w:rPr>
        <w:t>As required by Section 30 of the Banking Regulation Act, 1949, we report that:</w:t>
      </w:r>
    </w:p>
    <w:p>
      <w:pPr>
        <w:spacing w:before="80" w:after="80"/>
        <w:jc w:val="left"/>
      </w:pPr>
      <w:r>
        <w:rPr>
          <w:rFonts w:ascii="Arial" w:hAnsi="Arial"/>
          <w:b w:val="0"/>
          <w:i w:val="0"/>
          <w:sz w:val="20"/>
        </w:rPr>
        <w:t>a) We have obtained all the information and explanations which, to the best of our knowledge and belief, were necessary for the purpose of our audit and have found them to be satisfactory;</w:t>
      </w:r>
    </w:p>
    <w:p>
      <w:pPr>
        <w:spacing w:before="80" w:after="80"/>
        <w:jc w:val="left"/>
      </w:pPr>
      <w:r>
        <w:rPr>
          <w:rFonts w:ascii="Arial" w:hAnsi="Arial"/>
          <w:b w:val="0"/>
          <w:i w:val="0"/>
          <w:sz w:val="20"/>
        </w:rPr>
        <w:t>b) The transactions of the Bank, which have come to our notice, have been within the powers of the Bank;</w:t>
      </w:r>
    </w:p>
    <w:p>
      <w:pPr>
        <w:spacing w:before="80" w:after="80"/>
        <w:jc w:val="left"/>
      </w:pPr>
      <w:r>
        <w:rPr>
          <w:rFonts w:ascii="Arial" w:hAnsi="Arial"/>
          <w:b w:val="0"/>
          <w:i w:val="0"/>
          <w:sz w:val="20"/>
        </w:rPr>
        <w:t>c) The returns received from the offices and branches of the Bank have been found adequate for the purpose of our audit;</w:t>
      </w:r>
    </w:p>
    <w:p>
      <w:pPr>
        <w:spacing w:before="80" w:after="80"/>
        <w:jc w:val="left"/>
      </w:pPr>
      <w:r>
        <w:rPr>
          <w:rFonts w:ascii="Arial" w:hAnsi="Arial"/>
          <w:b w:val="0"/>
          <w:i w:val="0"/>
          <w:sz w:val="20"/>
        </w:rPr>
        <w:t>d) The Balance Sheet and Profit and Loss Account dealt with by this report are in agreement with the books of account and returns;</w:t>
      </w:r>
    </w:p>
    <w:p>
      <w:pPr>
        <w:spacing w:before="80" w:after="80"/>
        <w:jc w:val="left"/>
      </w:pPr>
      <w:r>
        <w:rPr>
          <w:rFonts w:ascii="Arial" w:hAnsi="Arial"/>
          <w:b w:val="0"/>
          <w:i w:val="0"/>
          <w:sz w:val="20"/>
        </w:rPr>
        <w:t>e) The financial statements are in compliance with the forms prescribed under the Third Schedule to the Banking Regulation Act, 1949.</w:t>
      </w:r>
    </w:p>
    <w:p>
      <w:pPr>
        <w:spacing w:before="160" w:after="80"/>
      </w:pPr>
      <w:r>
        <w:rPr>
          <w:rFonts w:ascii="Arial" w:hAnsi="Arial"/>
          <w:b/>
          <w:i w:val="0"/>
          <w:sz w:val="20"/>
        </w:rPr>
        <w:t>II. Report under Section 143(3) of the Companies Act, 2013</w:t>
      </w:r>
    </w:p>
    <w:p>
      <w:pPr>
        <w:spacing w:before="80" w:after="80"/>
        <w:jc w:val="left"/>
      </w:pPr>
      <w:r>
        <w:rPr>
          <w:rFonts w:ascii="Arial" w:hAnsi="Arial"/>
          <w:b w:val="0"/>
          <w:i w:val="0"/>
          <w:sz w:val="20"/>
        </w:rPr>
        <w:t>As required by Section 143(3) of the Act, we report that:</w:t>
      </w:r>
    </w:p>
    <w:p>
      <w:pPr>
        <w:spacing w:before="80" w:after="80"/>
        <w:jc w:val="left"/>
      </w:pPr>
      <w:r>
        <w:rPr>
          <w:rFonts w:ascii="Arial" w:hAnsi="Arial"/>
          <w:b w:val="0"/>
          <w:i w:val="0"/>
          <w:sz w:val="20"/>
        </w:rPr>
        <w:t>a) We have sought and obtained all the information and explanations which to the best of our knowledge and belief were necessary for the purposes of our audit;</w:t>
      </w:r>
    </w:p>
    <w:p>
      <w:pPr>
        <w:spacing w:before="80" w:after="80"/>
        <w:jc w:val="left"/>
      </w:pPr>
      <w:r>
        <w:rPr>
          <w:rFonts w:ascii="Arial" w:hAnsi="Arial"/>
          <w:b w:val="0"/>
          <w:i w:val="0"/>
          <w:sz w:val="20"/>
        </w:rPr>
        <w:t>b) In our opinion, proper books of account as required by law have been kept by the Bank so far as it appears from our examination of those books;</w:t>
      </w:r>
    </w:p>
    <w:p>
      <w:pPr>
        <w:spacing w:before="80" w:after="80"/>
        <w:jc w:val="left"/>
      </w:pPr>
      <w:r>
        <w:rPr>
          <w:rFonts w:ascii="Arial" w:hAnsi="Arial"/>
          <w:b w:val="0"/>
          <w:i w:val="0"/>
          <w:sz w:val="20"/>
        </w:rPr>
        <w:t>c) The Balance Sheet, the Profit and Loss Account, and the Cash Flow Statement dealt with by this Report are in agreement with the books of account;</w:t>
      </w:r>
    </w:p>
    <w:p>
      <w:pPr>
        <w:spacing w:before="80" w:after="80"/>
        <w:jc w:val="left"/>
      </w:pPr>
      <w:r>
        <w:rPr>
          <w:rFonts w:ascii="Arial" w:hAnsi="Arial"/>
          <w:b w:val="0"/>
          <w:i w:val="0"/>
          <w:sz w:val="20"/>
        </w:rPr>
        <w:t>d) In our opinion, the aforesaid financial statements comply with the Accounting Standards specified under Section 133 of the Act;</w:t>
      </w:r>
    </w:p>
    <w:p>
      <w:pPr>
        <w:spacing w:before="80" w:after="80"/>
        <w:jc w:val="left"/>
      </w:pPr>
      <w:r>
        <w:rPr>
          <w:rFonts w:ascii="Arial" w:hAnsi="Arial"/>
          <w:b w:val="0"/>
          <w:i w:val="0"/>
          <w:sz w:val="20"/>
        </w:rPr>
        <w:t>e) On the basis of the written representations received from the directors as on 31st March 20XX and taken on record by the Board of Directors, none of the directors is disqualified as on 31st March 20XX from being appointed as a director in terms of Section 164(2) of the Act;</w:t>
      </w:r>
    </w:p>
    <w:p>
      <w:pPr>
        <w:spacing w:before="80" w:after="80"/>
        <w:jc w:val="left"/>
      </w:pPr>
      <w:r>
        <w:rPr>
          <w:rFonts w:ascii="Arial" w:hAnsi="Arial"/>
          <w:b w:val="0"/>
          <w:i w:val="0"/>
          <w:sz w:val="20"/>
        </w:rPr>
        <w:t>f) With respect to the adequacy of the internal financial controls over financial reporting of the Bank and the operating effectiveness of such controls, refer to our separate Report in 'Annexure A' to this Report;</w:t>
      </w:r>
    </w:p>
    <w:p>
      <w:pPr>
        <w:spacing w:before="80" w:after="80"/>
        <w:jc w:val="left"/>
      </w:pPr>
      <w:r>
        <w:rPr>
          <w:rFonts w:ascii="Arial" w:hAnsi="Arial"/>
          <w:b w:val="0"/>
          <w:i w:val="0"/>
          <w:sz w:val="20"/>
        </w:rPr>
        <w:t>g) With respect to the other matters to be included in the Auditor's Report in accordance with Rule 11 of the Companies (Audit and Auditors) Rules, 2014, in our opinion and to the best of our information and according to the explanations given to us:</w:t>
      </w:r>
    </w:p>
    <w:p>
      <w:pPr>
        <w:spacing w:before="80" w:after="80"/>
        <w:jc w:val="left"/>
      </w:pPr>
      <w:r>
        <w:rPr>
          <w:rFonts w:ascii="Arial" w:hAnsi="Arial"/>
          <w:b w:val="0"/>
          <w:i w:val="0"/>
          <w:sz w:val="20"/>
        </w:rPr>
        <w:t xml:space="preserve">     i. The Bank [has / has not] disclosed the impact of pending litigations on its financial position in its financial statements — Refer Note [XX];</w:t>
      </w:r>
    </w:p>
    <w:p>
      <w:pPr>
        <w:spacing w:before="80" w:after="80"/>
        <w:jc w:val="left"/>
      </w:pPr>
      <w:r>
        <w:rPr>
          <w:rFonts w:ascii="Arial" w:hAnsi="Arial"/>
          <w:b w:val="0"/>
          <w:i w:val="0"/>
          <w:sz w:val="20"/>
        </w:rPr>
        <w:t xml:space="preserve">    ii. The Bank did [not] have any long-term contracts including derivative contracts for which there were any material foreseeable losses;</w:t>
      </w:r>
    </w:p>
    <w:p>
      <w:pPr>
        <w:spacing w:before="80" w:after="80"/>
        <w:jc w:val="left"/>
      </w:pPr>
      <w:r>
        <w:rPr>
          <w:rFonts w:ascii="Arial" w:hAnsi="Arial"/>
          <w:b w:val="0"/>
          <w:i w:val="0"/>
          <w:sz w:val="20"/>
        </w:rPr>
        <w:t xml:space="preserve">   iii. There [has been no delay / has been a delay] in transferring amounts, required to be transferred, to the Investor Education and Protection Fund by the Bank.</w:t>
      </w:r>
    </w:p>
    <w:p>
      <w:pPr>
        <w:spacing w:before="160" w:after="80"/>
      </w:pPr>
      <w:r>
        <w:rPr>
          <w:rFonts w:ascii="Arial" w:hAnsi="Arial"/>
          <w:b/>
          <w:i w:val="0"/>
          <w:sz w:val="22"/>
        </w:rPr>
        <w:t>ANNEXURE A — Report on Internal Financial Controls</w:t>
      </w:r>
    </w:p>
    <w:p>
      <w:pPr>
        <w:spacing w:before="80" w:after="80"/>
        <w:jc w:val="left"/>
      </w:pPr>
      <w:r>
        <w:rPr>
          <w:rFonts w:ascii="Arial" w:hAnsi="Arial"/>
          <w:b w:val="0"/>
          <w:i w:val="0"/>
          <w:sz w:val="20"/>
        </w:rPr>
        <w:t>In conjunction with our audit of the financial statements of the Bank as at and for the year ended 31st March 20XX, we have audited the internal financial controls over financial reporting of the Bank as at that date.</w:t>
      </w:r>
    </w:p>
    <w:p>
      <w:pPr>
        <w:spacing w:before="80" w:after="80"/>
        <w:jc w:val="left"/>
      </w:pPr>
      <w:r>
        <w:rPr>
          <w:rFonts w:ascii="Arial" w:hAnsi="Arial"/>
          <w:b w:val="0"/>
          <w:i w:val="0"/>
          <w:sz w:val="20"/>
        </w:rPr>
        <w:t>Management's Responsibility: The Board of Directors of the Bank is responsible for establishing and maintaining internal financial controls based on the internal control over financial reporting criteria established by the Bank considering the essential components of internal control stated in the Guidance Note on Audit of Internal Financial Controls over Financial Reporting issued by the ICAI.</w:t>
      </w:r>
    </w:p>
    <w:p>
      <w:pPr>
        <w:spacing w:before="80" w:after="80"/>
        <w:jc w:val="left"/>
      </w:pPr>
      <w:r>
        <w:rPr>
          <w:rFonts w:ascii="Arial" w:hAnsi="Arial"/>
          <w:b w:val="0"/>
          <w:i w:val="0"/>
          <w:sz w:val="20"/>
        </w:rPr>
        <w:t>Auditor's Responsibility: Our responsibility is to express an opinion on the Bank's internal financial controls over financial reporting based on our audit.</w:t>
      </w:r>
    </w:p>
    <w:p>
      <w:pPr>
        <w:spacing w:before="80" w:after="80"/>
        <w:jc w:val="left"/>
      </w:pPr>
      <w:r>
        <w:rPr>
          <w:rFonts w:ascii="Arial" w:hAnsi="Arial"/>
          <w:b w:val="0"/>
          <w:i w:val="0"/>
          <w:sz w:val="20"/>
        </w:rPr>
        <w:t>Opinion on Internal Financial Controls: In our opinion, the Bank has, in all material respects, an adequate internal financial controls system over financial reporting and such internal financial controls over financial reporting were operating effectively as at 31st March 20XX, based on the internal control over financial reporting criteria established by the Bank.</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footerReference w:type="default" r:id="rId10"/>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Kunstler Script" w:hAnsi="Kunstler Script"/>
              <w:b/>
              <w:sz w:val="22"/>
            </w:rPr>
            <w:t>Varma &amp; Varma</w:t>
          </w:r>
        </w:p>
      </w:tc>
      <w:tc>
        <w:tcPr>
          <w:tcW w:type="dxa" w:w="7285"/>
          <w:tcBorders>
            <w:top w:val="none"/>
            <w:left w:val="none"/>
            <w:bottom w:val="none"/>
            <w:right w:val="none"/>
          </w:tcBorders>
        </w:tcPr>
        <w:p>
          <w:pPr>
            <w:jc w:val="right"/>
          </w:pPr>
          <w:r>
            <w:rPr>
              <w:rFonts w:ascii="Arial" w:hAnsi="Arial"/>
              <w:b w:val="0"/>
              <w:i w:val="0"/>
              <w:sz w:val="16"/>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Independent Auditor's Report — Banks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DEFA28-E897-49F1-BE26-6E790722E51F}"/>
</file>

<file path=customXml/itemProps3.xml><?xml version="1.0" encoding="utf-8"?>
<ds:datastoreItem xmlns:ds="http://schemas.openxmlformats.org/officeDocument/2006/customXml" ds:itemID="{726D60E8-28FC-4B4A-AD63-F8024EB35C2B}"/>
</file>

<file path=customXml/itemProps4.xml><?xml version="1.0" encoding="utf-8"?>
<ds:datastoreItem xmlns:ds="http://schemas.openxmlformats.org/officeDocument/2006/customXml" ds:itemID="{089D9DD2-68A7-4B3B-94E1-2C751AA9E83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