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CAPITAL ADEQUACY (CRAR) CERTIFICATE</w:t>
      </w:r>
    </w:p>
    <w:p>
      <w:pPr>
        <w:spacing w:before="80" w:after="80"/>
        <w:jc w:val="center"/>
      </w:pPr>
      <w:r>
        <w:rPr>
          <w:rFonts w:ascii="Arial" w:hAnsi="Arial"/>
          <w:b w:val="0"/>
          <w:i/>
          <w:sz w:val="20"/>
        </w:rPr>
        <w:t>In terms of RBI Basel III Capital Regulations (Master Circular dated 1st July 2015, as updated)</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Bank]</w:t>
      </w:r>
    </w:p>
    <w:p/>
    <w:p>
      <w:pPr>
        <w:spacing w:before="80" w:after="80"/>
        <w:jc w:val="left"/>
      </w:pPr>
      <w:r>
        <w:rPr>
          <w:rFonts w:ascii="Arial" w:hAnsi="Arial"/>
          <w:b w:val="0"/>
          <w:i w:val="0"/>
          <w:sz w:val="20"/>
        </w:rPr>
        <w:t>We, [Name of Audit Firm], Chartered Accountants (Firm Registration No. [XXXXXX]W), the Statutory Auditors of [Name of the Bank] ('the Bank') for the financial year ended 31st March 20XX, have reviewed the Capital Adequacy computation (CRAR) submitted by the Bank to the Reserve Bank of India as at 31st March 20XX. The computation has been prepared by the Bank's management in accordance with the RBI's Basel III Capital Regulations (circular RBI/2015-16/58 DBR No. BP. BC. 1/21.06.201/2015-16 dated July 1, 2015, as amended from time to time).</w:t>
      </w:r>
    </w:p>
    <w:p/>
    <w:p>
      <w:pPr>
        <w:spacing w:before="160" w:after="80"/>
      </w:pPr>
      <w:r>
        <w:rPr>
          <w:rFonts w:ascii="Arial" w:hAnsi="Arial"/>
          <w:b/>
          <w:i w:val="0"/>
          <w:sz w:val="26"/>
        </w:rPr>
        <w:t>I. Capital Funds</w:t>
      </w:r>
    </w:p>
    <w:tbl>
      <w:tblPr>
        <w:tblStyle w:val="TableGrid"/>
        <w:tblW w:type="auto" w:w="0"/>
        <w:tblLook w:firstColumn="1" w:firstRow="1" w:lastColumn="0" w:lastRow="0" w:noHBand="0" w:noVBand="1" w:val="04A0"/>
      </w:tblPr>
      <w:tblGrid>
        <w:gridCol w:w="4857"/>
        <w:gridCol w:w="4857"/>
        <w:gridCol w:w="4857"/>
      </w:tblGrid>
      <w:tr>
        <w:tc>
          <w:tcPr>
            <w:tcW w:type="dxa" w:w="5102"/>
            <w:vAlign w:val="top"/>
            <w:shd w:val="clear" w:color="auto" w:fill="1F4E79"/>
          </w:tcPr>
          <w:p>
            <w:pPr>
              <w:jc w:val="center"/>
            </w:pPr>
            <w:r>
              <w:rPr>
                <w:rFonts w:ascii="Arial" w:hAnsi="Arial"/>
                <w:b/>
                <w:i w:val="0"/>
                <w:color w:val="FFFFFF"/>
                <w:sz w:val="18"/>
              </w:rPr>
              <w:t>Component</w:t>
            </w:r>
          </w:p>
        </w:tc>
        <w:tc>
          <w:tcPr>
            <w:tcW w:type="dxa" w:w="2835"/>
            <w:vAlign w:val="top"/>
            <w:shd w:val="clear" w:color="auto" w:fill="1F4E79"/>
          </w:tcPr>
          <w:p>
            <w:pPr>
              <w:jc w:val="center"/>
            </w:pPr>
            <w:r>
              <w:rPr>
                <w:rFonts w:ascii="Arial" w:hAnsi="Arial"/>
                <w:b/>
                <w:i w:val="0"/>
                <w:color w:val="FFFFFF"/>
                <w:sz w:val="18"/>
              </w:rPr>
              <w:t>Amount (₹ in Crore)</w:t>
            </w:r>
          </w:p>
        </w:tc>
        <w:tc>
          <w:tcPr>
            <w:tcW w:type="dxa" w:w="3402"/>
            <w:vAlign w:val="top"/>
            <w:shd w:val="clear" w:color="auto" w:fill="1F4E79"/>
          </w:tcPr>
          <w:p>
            <w:pPr>
              <w:jc w:val="center"/>
            </w:pPr>
            <w:r>
              <w:rPr>
                <w:rFonts w:ascii="Arial" w:hAnsi="Arial"/>
                <w:b/>
                <w:i w:val="0"/>
                <w:color w:val="FFFFFF"/>
                <w:sz w:val="18"/>
              </w:rPr>
              <w:t>Notes</w:t>
            </w:r>
          </w:p>
        </w:tc>
      </w:tr>
      <w:tr>
        <w:tc>
          <w:tcPr>
            <w:tcW w:type="dxa" w:w="5102"/>
            <w:vAlign w:val="top"/>
          </w:tcPr>
          <w:p>
            <w:pPr>
              <w:jc w:val="left"/>
            </w:pPr>
            <w:r>
              <w:rPr>
                <w:rFonts w:ascii="Arial" w:hAnsi="Arial"/>
                <w:b w:val="0"/>
                <w:i w:val="0"/>
                <w:sz w:val="18"/>
              </w:rPr>
              <w:t>A. TIER 1 CAPITAL</w:t>
            </w:r>
          </w:p>
        </w:tc>
        <w:tc>
          <w:tcPr>
            <w:tcW w:type="dxa" w:w="2835"/>
            <w:vAlign w:val="top"/>
          </w:tcPr>
          <w:p>
            <w:pPr>
              <w:jc w:val="left"/>
            </w:pPr>
            <w:r>
              <w:rPr>
                <w:rFonts w:ascii="Arial" w:hAnsi="Arial"/>
                <w:b w:val="0"/>
                <w:i w:val="0"/>
                <w:sz w:val="18"/>
              </w:rPr>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a. Common Equity Tier 1 (CET1):</w:t>
            </w:r>
          </w:p>
        </w:tc>
        <w:tc>
          <w:tcPr>
            <w:tcW w:type="dxa" w:w="2835"/>
            <w:vAlign w:val="top"/>
            <w:shd w:val="clear" w:color="auto" w:fill="EBF3FB"/>
          </w:tcPr>
          <w:p>
            <w:pPr>
              <w:jc w:val="left"/>
            </w:pPr>
            <w:r>
              <w:rPr>
                <w:rFonts w:ascii="Arial" w:hAnsi="Arial"/>
                <w:b w:val="0"/>
                <w:i w:val="0"/>
                <w:sz w:val="18"/>
              </w:rPr>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Paid-up Share Capital</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Share Premium Account</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Retained Earnings / Surplus in P&amp;L</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Statutory Reserve (Sec. 17 BRA)</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Other Disclosed Free Reserves</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Deductions from CET1:</w:t>
            </w:r>
          </w:p>
        </w:tc>
        <w:tc>
          <w:tcPr>
            <w:tcW w:type="dxa" w:w="2835"/>
            <w:vAlign w:val="top"/>
            <w:shd w:val="clear" w:color="auto" w:fill="EBF3FB"/>
          </w:tcPr>
          <w:p>
            <w:pPr>
              <w:jc w:val="left"/>
            </w:pPr>
            <w:r>
              <w:rPr>
                <w:rFonts w:ascii="Arial" w:hAnsi="Arial"/>
                <w:b w:val="0"/>
                <w:i w:val="0"/>
                <w:sz w:val="18"/>
              </w:rPr>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Goodwill and Other Intangible Assets</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t>Deducted per Basel III Para 4.1</w:t>
            </w:r>
          </w:p>
        </w:tc>
      </w:tr>
      <w:tr>
        <w:tc>
          <w:tcPr>
            <w:tcW w:type="dxa" w:w="5102"/>
            <w:vAlign w:val="top"/>
            <w:shd w:val="clear" w:color="auto" w:fill="EBF3FB"/>
          </w:tcPr>
          <w:p>
            <w:pPr>
              <w:jc w:val="left"/>
            </w:pPr>
            <w:r>
              <w:rPr>
                <w:rFonts w:ascii="Arial" w:hAnsi="Arial"/>
                <w:b w:val="0"/>
                <w:i w:val="0"/>
                <w:sz w:val="18"/>
              </w:rPr>
              <w:t xml:space="preserve">        Deferred Tax Assets (beyond threshold)</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Investment in Subsidiaries (deducted)</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Total CET1 (Net of Deductions)</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b. Additional Tier 1 Capital (AT1):</w:t>
            </w:r>
          </w:p>
        </w:tc>
        <w:tc>
          <w:tcPr>
            <w:tcW w:type="dxa" w:w="2835"/>
            <w:vAlign w:val="top"/>
          </w:tcPr>
          <w:p>
            <w:pPr>
              <w:jc w:val="left"/>
            </w:pPr>
            <w:r>
              <w:rPr>
                <w:rFonts w:ascii="Arial" w:hAnsi="Arial"/>
                <w:b w:val="0"/>
                <w:i w:val="0"/>
                <w:sz w:val="18"/>
              </w:rPr>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Perpetual Non-Cumulative Preference Shares</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Perpetual Debt Instruments (PDI)</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Total AT1</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Total Tier 1 Capital (CET1 + AT1)</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B. TIER 2 CAPITAL</w:t>
            </w:r>
          </w:p>
        </w:tc>
        <w:tc>
          <w:tcPr>
            <w:tcW w:type="dxa" w:w="2835"/>
            <w:vAlign w:val="top"/>
            <w:shd w:val="clear" w:color="auto" w:fill="EBF3FB"/>
          </w:tcPr>
          <w:p>
            <w:pPr>
              <w:jc w:val="left"/>
            </w:pPr>
            <w:r>
              <w:rPr>
                <w:rFonts w:ascii="Arial" w:hAnsi="Arial"/>
                <w:b w:val="0"/>
                <w:i w:val="0"/>
                <w:sz w:val="18"/>
              </w:rPr>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General Provisions / Floating Provisions</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Revaluation Reserves (eligible 45%)</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Subordinated Debt (eligible portion)</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Total Tier 2 Capital</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Total Capital (Tier 1 + Tier 2)</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bl>
    <w:p/>
    <w:p>
      <w:pPr>
        <w:spacing w:before="160" w:after="80"/>
      </w:pPr>
      <w:r>
        <w:rPr>
          <w:rFonts w:ascii="Arial" w:hAnsi="Arial"/>
          <w:b/>
          <w:i w:val="0"/>
          <w:sz w:val="26"/>
        </w:rPr>
        <w:t>II. Risk Weighted Assets (RWA)</w:t>
      </w:r>
    </w:p>
    <w:tbl>
      <w:tblPr>
        <w:tblStyle w:val="TableGrid"/>
        <w:tblW w:type="auto" w:w="0"/>
        <w:tblLook w:firstColumn="1" w:firstRow="1" w:lastColumn="0" w:lastRow="0" w:noHBand="0" w:noVBand="1" w:val="04A0"/>
      </w:tblPr>
      <w:tblGrid>
        <w:gridCol w:w="7285"/>
        <w:gridCol w:w="7285"/>
      </w:tblGrid>
      <w:tr>
        <w:tc>
          <w:tcPr>
            <w:tcW w:type="dxa" w:w="6803"/>
            <w:vAlign w:val="top"/>
            <w:shd w:val="clear" w:color="auto" w:fill="1F4E79"/>
          </w:tcPr>
          <w:p>
            <w:pPr>
              <w:jc w:val="center"/>
            </w:pPr>
            <w:r>
              <w:rPr>
                <w:rFonts w:ascii="Arial" w:hAnsi="Arial"/>
                <w:b/>
                <w:i w:val="0"/>
                <w:color w:val="FFFFFF"/>
                <w:sz w:val="18"/>
              </w:rPr>
              <w:t>RWA Category</w:t>
            </w:r>
          </w:p>
        </w:tc>
        <w:tc>
          <w:tcPr>
            <w:tcW w:type="dxa" w:w="4535"/>
            <w:vAlign w:val="top"/>
            <w:shd w:val="clear" w:color="auto" w:fill="1F4E79"/>
          </w:tcPr>
          <w:p>
            <w:pPr>
              <w:jc w:val="center"/>
            </w:pPr>
            <w:r>
              <w:rPr>
                <w:rFonts w:ascii="Arial" w:hAnsi="Arial"/>
                <w:b/>
                <w:i w:val="0"/>
                <w:color w:val="FFFFFF"/>
                <w:sz w:val="18"/>
              </w:rPr>
              <w:t>Amount (₹ in Crore)</w:t>
            </w:r>
          </w:p>
        </w:tc>
      </w:tr>
      <w:tr>
        <w:tc>
          <w:tcPr>
            <w:tcW w:type="dxa" w:w="6803"/>
            <w:vAlign w:val="top"/>
          </w:tcPr>
          <w:p>
            <w:pPr>
              <w:jc w:val="left"/>
            </w:pPr>
            <w:r>
              <w:rPr>
                <w:rFonts w:ascii="Arial" w:hAnsi="Arial"/>
                <w:b w:val="0"/>
                <w:i w:val="0"/>
                <w:sz w:val="18"/>
              </w:rPr>
              <w:t>Credit Risk RWA (Standardised Approach)</w:t>
            </w:r>
          </w:p>
        </w:tc>
        <w:tc>
          <w:tcPr>
            <w:tcW w:type="dxa" w:w="4535"/>
            <w:vAlign w:val="top"/>
          </w:tcPr>
          <w:p>
            <w:pPr>
              <w:jc w:val="left"/>
            </w:pPr>
            <w:r>
              <w:rPr>
                <w:rFonts w:ascii="Arial" w:hAnsi="Arial"/>
                <w:b w:val="0"/>
                <w:i w:val="0"/>
                <w:sz w:val="18"/>
              </w:rPr>
              <w:t>[XX]</w:t>
            </w:r>
          </w:p>
        </w:tc>
      </w:tr>
      <w:tr>
        <w:tc>
          <w:tcPr>
            <w:tcW w:type="dxa" w:w="6803"/>
            <w:vAlign w:val="top"/>
            <w:shd w:val="clear" w:color="auto" w:fill="EBF3FB"/>
          </w:tcPr>
          <w:p>
            <w:pPr>
              <w:jc w:val="left"/>
            </w:pPr>
            <w:r>
              <w:rPr>
                <w:rFonts w:ascii="Arial" w:hAnsi="Arial"/>
                <w:b w:val="0"/>
                <w:i w:val="0"/>
                <w:sz w:val="18"/>
              </w:rPr>
              <w:t>Market Risk RWA (Standardised Duration Method)</w:t>
            </w:r>
          </w:p>
        </w:tc>
        <w:tc>
          <w:tcPr>
            <w:tcW w:type="dxa" w:w="4535"/>
            <w:vAlign w:val="top"/>
            <w:shd w:val="clear" w:color="auto" w:fill="EBF3FB"/>
          </w:tcPr>
          <w:p>
            <w:pPr>
              <w:jc w:val="left"/>
            </w:pPr>
            <w:r>
              <w:rPr>
                <w:rFonts w:ascii="Arial" w:hAnsi="Arial"/>
                <w:b w:val="0"/>
                <w:i w:val="0"/>
                <w:sz w:val="18"/>
              </w:rPr>
              <w:t>[XX]</w:t>
            </w:r>
          </w:p>
        </w:tc>
      </w:tr>
      <w:tr>
        <w:tc>
          <w:tcPr>
            <w:tcW w:type="dxa" w:w="6803"/>
            <w:vAlign w:val="top"/>
          </w:tcPr>
          <w:p>
            <w:pPr>
              <w:jc w:val="left"/>
            </w:pPr>
            <w:r>
              <w:rPr>
                <w:rFonts w:ascii="Arial" w:hAnsi="Arial"/>
                <w:b w:val="0"/>
                <w:i w:val="0"/>
                <w:sz w:val="18"/>
              </w:rPr>
              <w:t>Operational Risk RWA (Basic Indicator Approach / Standardised)</w:t>
            </w:r>
          </w:p>
        </w:tc>
        <w:tc>
          <w:tcPr>
            <w:tcW w:type="dxa" w:w="4535"/>
            <w:vAlign w:val="top"/>
          </w:tcPr>
          <w:p>
            <w:pPr>
              <w:jc w:val="left"/>
            </w:pPr>
            <w:r>
              <w:rPr>
                <w:rFonts w:ascii="Arial" w:hAnsi="Arial"/>
                <w:b w:val="0"/>
                <w:i w:val="0"/>
                <w:sz w:val="18"/>
              </w:rPr>
              <w:t>[XX]</w:t>
            </w:r>
          </w:p>
        </w:tc>
      </w:tr>
      <w:tr>
        <w:tc>
          <w:tcPr>
            <w:tcW w:type="dxa" w:w="6803"/>
            <w:vAlign w:val="top"/>
            <w:shd w:val="clear" w:color="auto" w:fill="EBF3FB"/>
          </w:tcPr>
          <w:p>
            <w:pPr>
              <w:jc w:val="left"/>
            </w:pPr>
            <w:r>
              <w:rPr>
                <w:rFonts w:ascii="Arial" w:hAnsi="Arial"/>
                <w:b w:val="0"/>
                <w:i w:val="0"/>
                <w:sz w:val="18"/>
              </w:rPr>
              <w:t>Total RWA</w:t>
            </w:r>
          </w:p>
        </w:tc>
        <w:tc>
          <w:tcPr>
            <w:tcW w:type="dxa" w:w="4535"/>
            <w:vAlign w:val="top"/>
            <w:shd w:val="clear" w:color="auto" w:fill="EBF3FB"/>
          </w:tcPr>
          <w:p>
            <w:pPr>
              <w:jc w:val="left"/>
            </w:pPr>
            <w:r>
              <w:rPr>
                <w:rFonts w:ascii="Arial" w:hAnsi="Arial"/>
                <w:b w:val="0"/>
                <w:i w:val="0"/>
                <w:sz w:val="18"/>
              </w:rPr>
              <w:t>[XX]</w:t>
            </w:r>
          </w:p>
        </w:tc>
      </w:tr>
    </w:tbl>
    <w:p/>
    <w:p>
      <w:pPr>
        <w:spacing w:before="160" w:after="80"/>
      </w:pPr>
      <w:r>
        <w:rPr>
          <w:rFonts w:ascii="Arial" w:hAnsi="Arial"/>
          <w:b/>
          <w:i w:val="0"/>
          <w:sz w:val="26"/>
        </w:rPr>
        <w:t>III. CRAR Computation</w:t>
      </w:r>
    </w:p>
    <w:tbl>
      <w:tblPr>
        <w:tblStyle w:val="TableGrid"/>
        <w:tblW w:type="auto" w:w="0"/>
        <w:tblLook w:firstColumn="1" w:firstRow="1" w:lastColumn="0" w:lastRow="0" w:noHBand="0" w:noVBand="1" w:val="04A0"/>
      </w:tblPr>
      <w:tblGrid>
        <w:gridCol w:w="4857"/>
        <w:gridCol w:w="4857"/>
        <w:gridCol w:w="4857"/>
      </w:tblGrid>
      <w:tr>
        <w:tc>
          <w:tcPr>
            <w:tcW w:type="dxa" w:w="3969"/>
            <w:vAlign w:val="top"/>
            <w:shd w:val="clear" w:color="auto" w:fill="1F4E79"/>
          </w:tcPr>
          <w:p>
            <w:pPr>
              <w:jc w:val="center"/>
            </w:pPr>
            <w:r>
              <w:rPr>
                <w:rFonts w:ascii="Arial" w:hAnsi="Arial"/>
                <w:b/>
                <w:i w:val="0"/>
                <w:color w:val="FFFFFF"/>
                <w:sz w:val="18"/>
              </w:rPr>
              <w:t>Ratio</w:t>
            </w:r>
          </w:p>
        </w:tc>
        <w:tc>
          <w:tcPr>
            <w:tcW w:type="dxa" w:w="2835"/>
            <w:vAlign w:val="top"/>
            <w:shd w:val="clear" w:color="auto" w:fill="1F4E79"/>
          </w:tcPr>
          <w:p>
            <w:pPr>
              <w:jc w:val="center"/>
            </w:pPr>
            <w:r>
              <w:rPr>
                <w:rFonts w:ascii="Arial" w:hAnsi="Arial"/>
                <w:b/>
                <w:i w:val="0"/>
                <w:color w:val="FFFFFF"/>
                <w:sz w:val="18"/>
              </w:rPr>
              <w:t>Computed Ratio (%)</w:t>
            </w:r>
          </w:p>
        </w:tc>
        <w:tc>
          <w:tcPr>
            <w:tcW w:type="dxa" w:w="4535"/>
            <w:vAlign w:val="top"/>
            <w:shd w:val="clear" w:color="auto" w:fill="1F4E79"/>
          </w:tcPr>
          <w:p>
            <w:pPr>
              <w:jc w:val="center"/>
            </w:pPr>
            <w:r>
              <w:rPr>
                <w:rFonts w:ascii="Arial" w:hAnsi="Arial"/>
                <w:b/>
                <w:i w:val="0"/>
                <w:color w:val="FFFFFF"/>
                <w:sz w:val="18"/>
              </w:rPr>
              <w:t>Minimum Required (%)</w:t>
            </w:r>
          </w:p>
        </w:tc>
      </w:tr>
      <w:tr>
        <w:tc>
          <w:tcPr>
            <w:tcW w:type="dxa" w:w="3969"/>
            <w:vAlign w:val="top"/>
          </w:tcPr>
          <w:p>
            <w:pPr>
              <w:jc w:val="left"/>
            </w:pPr>
            <w:r>
              <w:rPr>
                <w:rFonts w:ascii="Arial" w:hAnsi="Arial"/>
                <w:b w:val="0"/>
                <w:i w:val="0"/>
                <w:sz w:val="18"/>
              </w:rPr>
              <w:t>CET1 Capital Ratio</w:t>
            </w:r>
          </w:p>
        </w:tc>
        <w:tc>
          <w:tcPr>
            <w:tcW w:type="dxa" w:w="2835"/>
            <w:vAlign w:val="top"/>
          </w:tcPr>
          <w:p>
            <w:pPr>
              <w:jc w:val="left"/>
            </w:pPr>
            <w:r>
              <w:rPr>
                <w:rFonts w:ascii="Arial" w:hAnsi="Arial"/>
                <w:b w:val="0"/>
                <w:i w:val="0"/>
                <w:sz w:val="18"/>
              </w:rPr>
              <w:t>[XX.XX]%</w:t>
            </w:r>
          </w:p>
        </w:tc>
        <w:tc>
          <w:tcPr>
            <w:tcW w:type="dxa" w:w="4535"/>
            <w:vAlign w:val="top"/>
          </w:tcPr>
          <w:p>
            <w:pPr>
              <w:jc w:val="left"/>
            </w:pPr>
            <w:r>
              <w:rPr>
                <w:rFonts w:ascii="Arial" w:hAnsi="Arial"/>
                <w:b w:val="0"/>
                <w:i w:val="0"/>
                <w:sz w:val="18"/>
              </w:rPr>
              <w:t>5.5% + CCB 2.5% = 8.0%</w:t>
            </w:r>
          </w:p>
        </w:tc>
      </w:tr>
      <w:tr>
        <w:tc>
          <w:tcPr>
            <w:tcW w:type="dxa" w:w="3969"/>
            <w:vAlign w:val="top"/>
            <w:shd w:val="clear" w:color="auto" w:fill="EBF3FB"/>
          </w:tcPr>
          <w:p>
            <w:pPr>
              <w:jc w:val="left"/>
            </w:pPr>
            <w:r>
              <w:rPr>
                <w:rFonts w:ascii="Arial" w:hAnsi="Arial"/>
                <w:b w:val="0"/>
                <w:i w:val="0"/>
                <w:sz w:val="18"/>
              </w:rPr>
              <w:t>Tier 1 Capital Ratio (CET1 + AT1)</w:t>
            </w:r>
          </w:p>
        </w:tc>
        <w:tc>
          <w:tcPr>
            <w:tcW w:type="dxa" w:w="2835"/>
            <w:vAlign w:val="top"/>
            <w:shd w:val="clear" w:color="auto" w:fill="EBF3FB"/>
          </w:tcPr>
          <w:p>
            <w:pPr>
              <w:jc w:val="left"/>
            </w:pPr>
            <w:r>
              <w:rPr>
                <w:rFonts w:ascii="Arial" w:hAnsi="Arial"/>
                <w:b w:val="0"/>
                <w:i w:val="0"/>
                <w:sz w:val="18"/>
              </w:rPr>
              <w:t>[XX.XX]%</w:t>
            </w:r>
          </w:p>
        </w:tc>
        <w:tc>
          <w:tcPr>
            <w:tcW w:type="dxa" w:w="4535"/>
            <w:vAlign w:val="top"/>
            <w:shd w:val="clear" w:color="auto" w:fill="EBF3FB"/>
          </w:tcPr>
          <w:p>
            <w:pPr>
              <w:jc w:val="left"/>
            </w:pPr>
            <w:r>
              <w:rPr>
                <w:rFonts w:ascii="Arial" w:hAnsi="Arial"/>
                <w:b w:val="0"/>
                <w:i w:val="0"/>
                <w:sz w:val="18"/>
              </w:rPr>
              <w:t>7.0% + CCB 2.5% = 9.5%</w:t>
            </w:r>
          </w:p>
        </w:tc>
      </w:tr>
      <w:tr>
        <w:tc>
          <w:tcPr>
            <w:tcW w:type="dxa" w:w="3969"/>
            <w:vAlign w:val="top"/>
          </w:tcPr>
          <w:p>
            <w:pPr>
              <w:jc w:val="left"/>
            </w:pPr>
            <w:r>
              <w:rPr>
                <w:rFonts w:ascii="Arial" w:hAnsi="Arial"/>
                <w:b w:val="0"/>
                <w:i w:val="0"/>
                <w:sz w:val="18"/>
              </w:rPr>
              <w:t>Total Capital Ratio (CRAR)</w:t>
            </w:r>
          </w:p>
        </w:tc>
        <w:tc>
          <w:tcPr>
            <w:tcW w:type="dxa" w:w="2835"/>
            <w:vAlign w:val="top"/>
          </w:tcPr>
          <w:p>
            <w:pPr>
              <w:jc w:val="left"/>
            </w:pPr>
            <w:r>
              <w:rPr>
                <w:rFonts w:ascii="Arial" w:hAnsi="Arial"/>
                <w:b w:val="0"/>
                <w:i w:val="0"/>
                <w:sz w:val="18"/>
              </w:rPr>
              <w:t>[XX.XX]%</w:t>
            </w:r>
          </w:p>
        </w:tc>
        <w:tc>
          <w:tcPr>
            <w:tcW w:type="dxa" w:w="4535"/>
            <w:vAlign w:val="top"/>
          </w:tcPr>
          <w:p>
            <w:pPr>
              <w:jc w:val="left"/>
            </w:pPr>
            <w:r>
              <w:rPr>
                <w:rFonts w:ascii="Arial" w:hAnsi="Arial"/>
                <w:b w:val="0"/>
                <w:i w:val="0"/>
                <w:sz w:val="18"/>
              </w:rPr>
              <w:t>9.0% + CCB 2.5% = 11.5%</w:t>
            </w:r>
          </w:p>
        </w:tc>
      </w:tr>
      <w:tr>
        <w:tc>
          <w:tcPr>
            <w:tcW w:type="dxa" w:w="3969"/>
            <w:vAlign w:val="top"/>
            <w:shd w:val="clear" w:color="auto" w:fill="EBF3FB"/>
          </w:tcPr>
          <w:p>
            <w:pPr>
              <w:jc w:val="left"/>
            </w:pPr>
            <w:r>
              <w:rPr>
                <w:rFonts w:ascii="Arial" w:hAnsi="Arial"/>
                <w:b w:val="0"/>
                <w:i w:val="0"/>
                <w:sz w:val="18"/>
              </w:rPr>
              <w:t>Capital Conservation Buffer (CCB) maintained</w:t>
            </w:r>
          </w:p>
        </w:tc>
        <w:tc>
          <w:tcPr>
            <w:tcW w:type="dxa" w:w="2835"/>
            <w:vAlign w:val="top"/>
            <w:shd w:val="clear" w:color="auto" w:fill="EBF3FB"/>
          </w:tcPr>
          <w:p>
            <w:pPr>
              <w:jc w:val="left"/>
            </w:pPr>
            <w:r>
              <w:rPr>
                <w:rFonts w:ascii="Arial" w:hAnsi="Arial"/>
                <w:b w:val="0"/>
                <w:i w:val="0"/>
                <w:sz w:val="18"/>
              </w:rPr>
              <w:t>[XX.XX]%</w:t>
            </w:r>
          </w:p>
        </w:tc>
        <w:tc>
          <w:tcPr>
            <w:tcW w:type="dxa" w:w="4535"/>
            <w:vAlign w:val="top"/>
            <w:shd w:val="clear" w:color="auto" w:fill="EBF3FB"/>
          </w:tcPr>
          <w:p>
            <w:pPr>
              <w:jc w:val="left"/>
            </w:pPr>
            <w:r>
              <w:rPr>
                <w:rFonts w:ascii="Arial" w:hAnsi="Arial"/>
                <w:b w:val="0"/>
                <w:i w:val="0"/>
                <w:sz w:val="18"/>
              </w:rPr>
              <w:t>2.5%</w:t>
            </w:r>
          </w:p>
        </w:tc>
      </w:tr>
    </w:tbl>
    <w:p/>
    <w:p>
      <w:pPr>
        <w:spacing w:before="160" w:after="80"/>
      </w:pPr>
      <w:r>
        <w:rPr>
          <w:rFonts w:ascii="Arial" w:hAnsi="Arial"/>
          <w:b/>
          <w:i w:val="0"/>
          <w:sz w:val="26"/>
        </w:rPr>
        <w:t>IV. Our Observations</w:t>
      </w:r>
    </w:p>
    <w:p>
      <w:pPr>
        <w:spacing w:before="80" w:after="80"/>
        <w:jc w:val="left"/>
      </w:pPr>
      <w:r>
        <w:rPr>
          <w:rFonts w:ascii="Arial" w:hAnsi="Arial"/>
          <w:b w:val="0"/>
          <w:i w:val="0"/>
          <w:sz w:val="20"/>
        </w:rPr>
        <w:t>Based on our review, we certify that the CRAR of the Bank as at 31st March 20XX, as computed by the Bank and placed before us for review, is [XX.XX]%, which is [above / below] the minimum prescribed ratio of 11.5% (inclusive of Capital Conservation Buffer of 2.5%) as required by RBI's Basel III Capital Regulations.</w:t>
      </w:r>
    </w:p>
    <w:p>
      <w:pPr>
        <w:spacing w:before="80" w:after="80"/>
        <w:jc w:val="left"/>
      </w:pPr>
      <w:r>
        <w:rPr>
          <w:rFonts w:ascii="Arial" w:hAnsi="Arial"/>
          <w:b w:val="0"/>
          <w:i/>
          <w:sz w:val="18"/>
        </w:rPr>
        <w:t>Our review was conducted for the limited purpose of certifying the CRAR to the Board and does not constitute a full audit of the CRAR computation. We have relied on the underlying financial statements which we have audited. Any errors in the Risk Weight assignments beyond our testing scope remain the responsibility of management.</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footerReference w:type="default" r:id="rId10"/>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Kunstler Script" w:hAnsi="Kunstler Script"/>
              <w:b/>
              <w:sz w:val="22"/>
            </w:rPr>
            <w:t>Varma &amp; Varma</w:t>
          </w:r>
        </w:p>
      </w:tc>
      <w:tc>
        <w:tcPr>
          <w:tcW w:type="dxa" w:w="7285"/>
          <w:tcBorders>
            <w:top w:val="none"/>
            <w:left w:val="none"/>
            <w:bottom w:val="none"/>
            <w:right w:val="none"/>
          </w:tcBorders>
        </w:tcPr>
        <w:p>
          <w:pPr>
            <w:jc w:val="right"/>
          </w:pPr>
          <w:r>
            <w:rPr>
              <w:rFonts w:ascii="Arial" w:hAnsi="Arial"/>
              <w:b w:val="0"/>
              <w:i w:val="0"/>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CRAR Certificate — Banks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7EF5BA-E62A-4481-86C5-A6475889A04D}"/>
</file>

<file path=customXml/itemProps3.xml><?xml version="1.0" encoding="utf-8"?>
<ds:datastoreItem xmlns:ds="http://schemas.openxmlformats.org/officeDocument/2006/customXml" ds:itemID="{4EF3B080-10BE-4CD4-8F06-A7249CFDAE58}"/>
</file>

<file path=customXml/itemProps4.xml><?xml version="1.0" encoding="utf-8"?>
<ds:datastoreItem xmlns:ds="http://schemas.openxmlformats.org/officeDocument/2006/customXml" ds:itemID="{FF688A55-9EEC-496B-ADB6-03708CA1818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