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Arial" w:hAnsi="Arial"/>
          <w:b/>
          <w:i w:val="0"/>
          <w:sz w:val="24"/>
        </w:rPr>
        <w:t>FORM 3CD — STATEMENT OF PARTICULARS REQUIRED TO BE FURNISHED UNDER SECTION 44AB</w:t>
      </w:r>
    </w:p>
    <w:p>
      <w:pPr>
        <w:spacing w:before="80" w:after="80"/>
        <w:jc w:val="center"/>
      </w:pPr>
      <w:r>
        <w:rPr>
          <w:rFonts w:ascii="Arial" w:hAnsi="Arial"/>
          <w:b w:val="0"/>
          <w:i/>
          <w:sz w:val="20"/>
        </w:rPr>
        <w:t>[Banking Company — For use with Form 3CA]</w:t>
      </w:r>
    </w:p>
    <w:p>
      <w:pPr>
        <w:spacing w:before="40" w:after="40"/>
        <w:pBdr>
          <w:bottom w:val="single" w:sz="6" w:space="1" w:color="1F4E79"/>
        </w:pBdr>
      </w:pPr>
    </w:p>
    <w:p/>
    <w:tbl>
      <w:tblPr>
        <w:tblStyle w:val="TableGrid"/>
        <w:tblW w:type="auto" w:w="0"/>
        <w:tblLook w:firstColumn="1" w:firstRow="1" w:lastColumn="0" w:lastRow="0" w:noHBand="0" w:noVBand="1" w:val="04A0"/>
      </w:tblPr>
      <w:tblGrid>
        <w:gridCol w:w="4857"/>
        <w:gridCol w:w="4857"/>
        <w:gridCol w:w="4857"/>
      </w:tblGrid>
      <w:tr>
        <w:tc>
          <w:tcPr>
            <w:tcW w:type="dxa" w:w="1134"/>
            <w:vAlign w:val="top"/>
            <w:shd w:val="clear" w:color="auto" w:fill="1F4E79"/>
          </w:tcPr>
          <w:p>
            <w:pPr>
              <w:jc w:val="center"/>
            </w:pPr>
            <w:r>
              <w:rPr>
                <w:rFonts w:ascii="Arial" w:hAnsi="Arial"/>
                <w:b/>
                <w:i w:val="0"/>
                <w:color w:val="FFFFFF"/>
                <w:sz w:val="18"/>
              </w:rPr>
              <w:t>Clause No.</w:t>
            </w:r>
          </w:p>
        </w:tc>
        <w:tc>
          <w:tcPr>
            <w:tcW w:type="dxa" w:w="4535"/>
            <w:vAlign w:val="top"/>
            <w:shd w:val="clear" w:color="auto" w:fill="1F4E79"/>
          </w:tcPr>
          <w:p>
            <w:pPr>
              <w:jc w:val="center"/>
            </w:pPr>
            <w:r>
              <w:rPr>
                <w:rFonts w:ascii="Arial" w:hAnsi="Arial"/>
                <w:b/>
                <w:i w:val="0"/>
                <w:color w:val="FFFFFF"/>
                <w:sz w:val="18"/>
              </w:rPr>
              <w:t>Particulars</w:t>
            </w:r>
          </w:p>
        </w:tc>
        <w:tc>
          <w:tcPr>
            <w:tcW w:type="dxa" w:w="5669"/>
            <w:vAlign w:val="top"/>
            <w:shd w:val="clear" w:color="auto" w:fill="1F4E79"/>
          </w:tcPr>
          <w:p>
            <w:pPr>
              <w:jc w:val="center"/>
            </w:pPr>
            <w:r>
              <w:rPr>
                <w:rFonts w:ascii="Arial" w:hAnsi="Arial"/>
                <w:b/>
                <w:i w:val="0"/>
                <w:color w:val="FFFFFF"/>
                <w:sz w:val="18"/>
              </w:rPr>
              <w:t>Details / Response</w:t>
            </w:r>
          </w:p>
        </w:tc>
      </w:tr>
      <w:tr>
        <w:tc>
          <w:tcPr>
            <w:tcW w:type="dxa" w:w="1134"/>
            <w:vAlign w:val="top"/>
          </w:tcPr>
          <w:p>
            <w:pPr>
              <w:jc w:val="left"/>
            </w:pPr>
            <w:r>
              <w:rPr>
                <w:rFonts w:ascii="Arial" w:hAnsi="Arial"/>
                <w:b w:val="0"/>
                <w:i w:val="0"/>
                <w:sz w:val="18"/>
              </w:rPr>
              <w:t>1</w:t>
            </w:r>
          </w:p>
        </w:tc>
        <w:tc>
          <w:tcPr>
            <w:tcW w:type="dxa" w:w="4535"/>
            <w:vAlign w:val="top"/>
          </w:tcPr>
          <w:p>
            <w:pPr>
              <w:jc w:val="left"/>
            </w:pPr>
            <w:r>
              <w:rPr>
                <w:rFonts w:ascii="Arial" w:hAnsi="Arial"/>
                <w:b w:val="0"/>
                <w:i w:val="0"/>
                <w:sz w:val="18"/>
              </w:rPr>
              <w:t>Name of the assessee</w:t>
            </w:r>
          </w:p>
        </w:tc>
        <w:tc>
          <w:tcPr>
            <w:tcW w:type="dxa" w:w="5669"/>
            <w:vAlign w:val="top"/>
          </w:tcPr>
          <w:p>
            <w:pPr>
              <w:jc w:val="left"/>
            </w:pPr>
            <w:r>
              <w:rPr>
                <w:rFonts w:ascii="Arial" w:hAnsi="Arial"/>
                <w:b w:val="0"/>
                <w:i w:val="0"/>
                <w:sz w:val="18"/>
              </w:rPr>
              <w:t>[Name of the Bank]</w:t>
            </w:r>
          </w:p>
        </w:tc>
      </w:tr>
      <w:tr>
        <w:tc>
          <w:tcPr>
            <w:tcW w:type="dxa" w:w="1134"/>
            <w:vAlign w:val="top"/>
            <w:shd w:val="clear" w:color="auto" w:fill="EBF3FB"/>
          </w:tcPr>
          <w:p>
            <w:pPr>
              <w:jc w:val="left"/>
            </w:pPr>
            <w:r>
              <w:rPr>
                <w:rFonts w:ascii="Arial" w:hAnsi="Arial"/>
                <w:b w:val="0"/>
                <w:i w:val="0"/>
                <w:sz w:val="18"/>
              </w:rPr>
              <w:t>2</w:t>
            </w:r>
          </w:p>
        </w:tc>
        <w:tc>
          <w:tcPr>
            <w:tcW w:type="dxa" w:w="4535"/>
            <w:vAlign w:val="top"/>
            <w:shd w:val="clear" w:color="auto" w:fill="EBF3FB"/>
          </w:tcPr>
          <w:p>
            <w:pPr>
              <w:jc w:val="left"/>
            </w:pPr>
            <w:r>
              <w:rPr>
                <w:rFonts w:ascii="Arial" w:hAnsi="Arial"/>
                <w:b w:val="0"/>
                <w:i w:val="0"/>
                <w:sz w:val="18"/>
              </w:rPr>
              <w:t>Address</w:t>
            </w:r>
          </w:p>
        </w:tc>
        <w:tc>
          <w:tcPr>
            <w:tcW w:type="dxa" w:w="5669"/>
            <w:vAlign w:val="top"/>
            <w:shd w:val="clear" w:color="auto" w:fill="EBF3FB"/>
          </w:tcPr>
          <w:p>
            <w:pPr>
              <w:jc w:val="left"/>
            </w:pPr>
            <w:r>
              <w:rPr>
                <w:rFonts w:ascii="Arial" w:hAnsi="Arial"/>
                <w:b w:val="0"/>
                <w:i w:val="0"/>
                <w:sz w:val="18"/>
              </w:rPr>
              <w:t>[Registered Office Address]</w:t>
            </w:r>
          </w:p>
        </w:tc>
      </w:tr>
      <w:tr>
        <w:tc>
          <w:tcPr>
            <w:tcW w:type="dxa" w:w="1134"/>
            <w:vAlign w:val="top"/>
          </w:tcPr>
          <w:p>
            <w:pPr>
              <w:jc w:val="left"/>
            </w:pPr>
            <w:r>
              <w:rPr>
                <w:rFonts w:ascii="Arial" w:hAnsi="Arial"/>
                <w:b w:val="0"/>
                <w:i w:val="0"/>
                <w:sz w:val="18"/>
              </w:rPr>
              <w:t>3</w:t>
            </w:r>
          </w:p>
        </w:tc>
        <w:tc>
          <w:tcPr>
            <w:tcW w:type="dxa" w:w="4535"/>
            <w:vAlign w:val="top"/>
          </w:tcPr>
          <w:p>
            <w:pPr>
              <w:jc w:val="left"/>
            </w:pPr>
            <w:r>
              <w:rPr>
                <w:rFonts w:ascii="Arial" w:hAnsi="Arial"/>
                <w:b w:val="0"/>
                <w:i w:val="0"/>
                <w:sz w:val="18"/>
              </w:rPr>
              <w:t>PAN</w:t>
            </w:r>
          </w:p>
        </w:tc>
        <w:tc>
          <w:tcPr>
            <w:tcW w:type="dxa" w:w="5669"/>
            <w:vAlign w:val="top"/>
          </w:tcPr>
          <w:p>
            <w:pPr>
              <w:jc w:val="left"/>
            </w:pPr>
            <w:r>
              <w:rPr>
                <w:rFonts w:ascii="Arial" w:hAnsi="Arial"/>
                <w:b w:val="0"/>
                <w:i w:val="0"/>
                <w:sz w:val="18"/>
              </w:rPr>
              <w:t>[XXXXXXXXXXXXX]</w:t>
            </w:r>
          </w:p>
        </w:tc>
      </w:tr>
      <w:tr>
        <w:tc>
          <w:tcPr>
            <w:tcW w:type="dxa" w:w="1134"/>
            <w:vAlign w:val="top"/>
            <w:shd w:val="clear" w:color="auto" w:fill="EBF3FB"/>
          </w:tcPr>
          <w:p>
            <w:pPr>
              <w:jc w:val="left"/>
            </w:pPr>
            <w:r>
              <w:rPr>
                <w:rFonts w:ascii="Arial" w:hAnsi="Arial"/>
                <w:b w:val="0"/>
                <w:i w:val="0"/>
                <w:sz w:val="18"/>
              </w:rPr>
              <w:t>4</w:t>
            </w:r>
          </w:p>
        </w:tc>
        <w:tc>
          <w:tcPr>
            <w:tcW w:type="dxa" w:w="4535"/>
            <w:vAlign w:val="top"/>
            <w:shd w:val="clear" w:color="auto" w:fill="EBF3FB"/>
          </w:tcPr>
          <w:p>
            <w:pPr>
              <w:jc w:val="left"/>
            </w:pPr>
            <w:r>
              <w:rPr>
                <w:rFonts w:ascii="Arial" w:hAnsi="Arial"/>
                <w:b w:val="0"/>
                <w:i w:val="0"/>
                <w:sz w:val="18"/>
              </w:rPr>
              <w:t>Whether the assessee is liable to pay indirect tax like GST etc. — if yes, registration number</w:t>
            </w:r>
          </w:p>
        </w:tc>
        <w:tc>
          <w:tcPr>
            <w:tcW w:type="dxa" w:w="5669"/>
            <w:vAlign w:val="top"/>
            <w:shd w:val="clear" w:color="auto" w:fill="EBF3FB"/>
          </w:tcPr>
          <w:p>
            <w:pPr>
              <w:jc w:val="left"/>
            </w:pPr>
            <w:r>
              <w:rPr>
                <w:rFonts w:ascii="Arial" w:hAnsi="Arial"/>
                <w:b w:val="0"/>
                <w:i w:val="0"/>
                <w:sz w:val="18"/>
              </w:rPr>
              <w:t>Yes — GST Reg. No.: [XXXXXXXXXXXX] (and other states as applicable)</w:t>
            </w:r>
          </w:p>
        </w:tc>
      </w:tr>
      <w:tr>
        <w:tc>
          <w:tcPr>
            <w:tcW w:type="dxa" w:w="1134"/>
            <w:vAlign w:val="top"/>
          </w:tcPr>
          <w:p>
            <w:pPr>
              <w:jc w:val="left"/>
            </w:pPr>
            <w:r>
              <w:rPr>
                <w:rFonts w:ascii="Arial" w:hAnsi="Arial"/>
                <w:b w:val="0"/>
                <w:i w:val="0"/>
                <w:sz w:val="18"/>
              </w:rPr>
              <w:t>5</w:t>
            </w:r>
          </w:p>
        </w:tc>
        <w:tc>
          <w:tcPr>
            <w:tcW w:type="dxa" w:w="4535"/>
            <w:vAlign w:val="top"/>
          </w:tcPr>
          <w:p>
            <w:pPr>
              <w:jc w:val="left"/>
            </w:pPr>
            <w:r>
              <w:rPr>
                <w:rFonts w:ascii="Arial" w:hAnsi="Arial"/>
                <w:b w:val="0"/>
                <w:i w:val="0"/>
                <w:sz w:val="18"/>
              </w:rPr>
              <w:t>Name of the person(s) responsible for maintaining books of account. Designation &amp; Address.</w:t>
            </w:r>
          </w:p>
        </w:tc>
        <w:tc>
          <w:tcPr>
            <w:tcW w:type="dxa" w:w="5669"/>
            <w:vAlign w:val="top"/>
          </w:tcPr>
          <w:p>
            <w:pPr>
              <w:jc w:val="left"/>
            </w:pPr>
            <w:r>
              <w:rPr>
                <w:rFonts w:ascii="Arial" w:hAnsi="Arial"/>
                <w:b w:val="0"/>
                <w:i w:val="0"/>
                <w:sz w:val="18"/>
              </w:rPr>
              <w:t>[Name], [Designation], [Address]</w:t>
            </w:r>
          </w:p>
        </w:tc>
      </w:tr>
      <w:tr>
        <w:tc>
          <w:tcPr>
            <w:tcW w:type="dxa" w:w="1134"/>
            <w:vAlign w:val="top"/>
            <w:shd w:val="clear" w:color="auto" w:fill="EBF3FB"/>
          </w:tcPr>
          <w:p>
            <w:pPr>
              <w:jc w:val="left"/>
            </w:pPr>
            <w:r>
              <w:rPr>
                <w:rFonts w:ascii="Arial" w:hAnsi="Arial"/>
                <w:b w:val="0"/>
                <w:i w:val="0"/>
                <w:sz w:val="18"/>
              </w:rPr>
              <w:t>6</w:t>
            </w:r>
          </w:p>
        </w:tc>
        <w:tc>
          <w:tcPr>
            <w:tcW w:type="dxa" w:w="4535"/>
            <w:vAlign w:val="top"/>
            <w:shd w:val="clear" w:color="auto" w:fill="EBF3FB"/>
          </w:tcPr>
          <w:p>
            <w:pPr>
              <w:jc w:val="left"/>
            </w:pPr>
            <w:r>
              <w:rPr>
                <w:rFonts w:ascii="Arial" w:hAnsi="Arial"/>
                <w:b w:val="0"/>
                <w:i w:val="0"/>
                <w:sz w:val="18"/>
              </w:rPr>
              <w:t>Relevant previous year — From/To</w:t>
            </w:r>
          </w:p>
        </w:tc>
        <w:tc>
          <w:tcPr>
            <w:tcW w:type="dxa" w:w="5669"/>
            <w:vAlign w:val="top"/>
            <w:shd w:val="clear" w:color="auto" w:fill="EBF3FB"/>
          </w:tcPr>
          <w:p>
            <w:pPr>
              <w:jc w:val="left"/>
            </w:pPr>
            <w:r>
              <w:rPr>
                <w:rFonts w:ascii="Arial" w:hAnsi="Arial"/>
                <w:b w:val="0"/>
                <w:i w:val="0"/>
                <w:sz w:val="18"/>
              </w:rPr>
              <w:t>01.04.20XX to 31.03.20XX</w:t>
            </w:r>
          </w:p>
        </w:tc>
      </w:tr>
      <w:tr>
        <w:tc>
          <w:tcPr>
            <w:tcW w:type="dxa" w:w="1134"/>
            <w:vAlign w:val="top"/>
          </w:tcPr>
          <w:p>
            <w:pPr>
              <w:jc w:val="left"/>
            </w:pPr>
            <w:r>
              <w:rPr>
                <w:rFonts w:ascii="Arial" w:hAnsi="Arial"/>
                <w:b w:val="0"/>
                <w:i w:val="0"/>
                <w:sz w:val="18"/>
              </w:rPr>
              <w:t>7</w:t>
            </w:r>
          </w:p>
        </w:tc>
        <w:tc>
          <w:tcPr>
            <w:tcW w:type="dxa" w:w="4535"/>
            <w:vAlign w:val="top"/>
          </w:tcPr>
          <w:p>
            <w:pPr>
              <w:jc w:val="left"/>
            </w:pPr>
            <w:r>
              <w:rPr>
                <w:rFonts w:ascii="Arial" w:hAnsi="Arial"/>
                <w:b w:val="0"/>
                <w:i w:val="0"/>
                <w:sz w:val="18"/>
              </w:rPr>
              <w:t>Assessment Year</w:t>
            </w:r>
          </w:p>
        </w:tc>
        <w:tc>
          <w:tcPr>
            <w:tcW w:type="dxa" w:w="5669"/>
            <w:vAlign w:val="top"/>
          </w:tcPr>
          <w:p>
            <w:pPr>
              <w:jc w:val="left"/>
            </w:pPr>
            <w:r>
              <w:rPr>
                <w:rFonts w:ascii="Arial" w:hAnsi="Arial"/>
                <w:b w:val="0"/>
                <w:i w:val="0"/>
                <w:sz w:val="18"/>
              </w:rPr>
              <w:t>20XX-20XX</w:t>
            </w:r>
          </w:p>
        </w:tc>
      </w:tr>
      <w:tr>
        <w:tc>
          <w:tcPr>
            <w:tcW w:type="dxa" w:w="1134"/>
            <w:vAlign w:val="top"/>
            <w:shd w:val="clear" w:color="auto" w:fill="EBF3FB"/>
          </w:tcPr>
          <w:p>
            <w:pPr>
              <w:jc w:val="left"/>
            </w:pPr>
            <w:r>
              <w:rPr>
                <w:rFonts w:ascii="Arial" w:hAnsi="Arial"/>
                <w:b w:val="0"/>
                <w:i w:val="0"/>
                <w:sz w:val="18"/>
              </w:rPr>
              <w:t>8</w:t>
            </w:r>
          </w:p>
        </w:tc>
        <w:tc>
          <w:tcPr>
            <w:tcW w:type="dxa" w:w="4535"/>
            <w:vAlign w:val="top"/>
            <w:shd w:val="clear" w:color="auto" w:fill="EBF3FB"/>
          </w:tcPr>
          <w:p>
            <w:pPr>
              <w:jc w:val="left"/>
            </w:pPr>
            <w:r>
              <w:rPr>
                <w:rFonts w:ascii="Arial" w:hAnsi="Arial"/>
                <w:b w:val="0"/>
                <w:i w:val="0"/>
                <w:sz w:val="18"/>
              </w:rPr>
              <w:t>Indicate the relevant clause of Section 44AB under which the audit has been conducted</w:t>
            </w:r>
          </w:p>
        </w:tc>
        <w:tc>
          <w:tcPr>
            <w:tcW w:type="dxa" w:w="5669"/>
            <w:vAlign w:val="top"/>
            <w:shd w:val="clear" w:color="auto" w:fill="EBF3FB"/>
          </w:tcPr>
          <w:p>
            <w:pPr>
              <w:jc w:val="left"/>
            </w:pPr>
            <w:r>
              <w:rPr>
                <w:rFonts w:ascii="Arial" w:hAnsi="Arial"/>
                <w:b w:val="0"/>
                <w:i w:val="0"/>
                <w:sz w:val="18"/>
              </w:rPr>
              <w:t>Clause (a) — Turnover/Gross Receipts exceed ₹1 crore / Clause (b) — as applicable</w:t>
            </w:r>
          </w:p>
        </w:tc>
      </w:tr>
      <w:tr>
        <w:tc>
          <w:tcPr>
            <w:tcW w:type="dxa" w:w="1134"/>
            <w:vAlign w:val="top"/>
          </w:tcPr>
          <w:p>
            <w:pPr>
              <w:jc w:val="left"/>
            </w:pPr>
            <w:r>
              <w:rPr>
                <w:rFonts w:ascii="Arial" w:hAnsi="Arial"/>
                <w:b w:val="0"/>
                <w:i w:val="0"/>
                <w:sz w:val="18"/>
              </w:rPr>
              <w:t>9</w:t>
            </w:r>
          </w:p>
        </w:tc>
        <w:tc>
          <w:tcPr>
            <w:tcW w:type="dxa" w:w="4535"/>
            <w:vAlign w:val="top"/>
          </w:tcPr>
          <w:p>
            <w:pPr>
              <w:jc w:val="left"/>
            </w:pPr>
            <w:r>
              <w:rPr>
                <w:rFonts w:ascii="Arial" w:hAnsi="Arial"/>
                <w:b w:val="0"/>
                <w:i w:val="0"/>
                <w:sz w:val="18"/>
              </w:rPr>
              <w:t>Nature of business or profession</w:t>
            </w:r>
          </w:p>
        </w:tc>
        <w:tc>
          <w:tcPr>
            <w:tcW w:type="dxa" w:w="5669"/>
            <w:vAlign w:val="top"/>
          </w:tcPr>
          <w:p>
            <w:pPr>
              <w:jc w:val="left"/>
            </w:pPr>
            <w:r>
              <w:rPr>
                <w:rFonts w:ascii="Arial" w:hAnsi="Arial"/>
                <w:b w:val="0"/>
                <w:i w:val="0"/>
                <w:sz w:val="18"/>
              </w:rPr>
              <w:t>Banking — NIC Code: [XXXXX]</w:t>
            </w:r>
          </w:p>
        </w:tc>
      </w:tr>
      <w:tr>
        <w:tc>
          <w:tcPr>
            <w:tcW w:type="dxa" w:w="1134"/>
            <w:vAlign w:val="top"/>
            <w:shd w:val="clear" w:color="auto" w:fill="EBF3FB"/>
          </w:tcPr>
          <w:p>
            <w:pPr>
              <w:jc w:val="left"/>
            </w:pPr>
            <w:r>
              <w:rPr>
                <w:rFonts w:ascii="Arial" w:hAnsi="Arial"/>
                <w:b w:val="0"/>
                <w:i w:val="0"/>
                <w:sz w:val="18"/>
              </w:rPr>
              <w:t>10</w:t>
            </w:r>
          </w:p>
        </w:tc>
        <w:tc>
          <w:tcPr>
            <w:tcW w:type="dxa" w:w="4535"/>
            <w:vAlign w:val="top"/>
            <w:shd w:val="clear" w:color="auto" w:fill="EBF3FB"/>
          </w:tcPr>
          <w:p>
            <w:pPr>
              <w:jc w:val="left"/>
            </w:pPr>
            <w:r>
              <w:rPr>
                <w:rFonts w:ascii="Arial" w:hAnsi="Arial"/>
                <w:b w:val="0"/>
                <w:i w:val="0"/>
                <w:sz w:val="18"/>
              </w:rPr>
              <w:t>Whether books of account are prescribed under Section 44AA — if yes, list of books</w:t>
            </w:r>
          </w:p>
        </w:tc>
        <w:tc>
          <w:tcPr>
            <w:tcW w:type="dxa" w:w="5669"/>
            <w:vAlign w:val="top"/>
            <w:shd w:val="clear" w:color="auto" w:fill="EBF3FB"/>
          </w:tcPr>
          <w:p>
            <w:pPr>
              <w:jc w:val="left"/>
            </w:pPr>
            <w:r>
              <w:rPr>
                <w:rFonts w:ascii="Arial" w:hAnsi="Arial"/>
                <w:b w:val="0"/>
                <w:i w:val="0"/>
                <w:sz w:val="18"/>
              </w:rPr>
              <w:t>Yes — Day Book, Cash Book, Journal, Ledger, etc. as prescribed under Income Tax Rules</w:t>
            </w:r>
          </w:p>
        </w:tc>
      </w:tr>
      <w:tr>
        <w:tc>
          <w:tcPr>
            <w:tcW w:type="dxa" w:w="1134"/>
            <w:vAlign w:val="top"/>
          </w:tcPr>
          <w:p>
            <w:pPr>
              <w:jc w:val="left"/>
            </w:pPr>
            <w:r>
              <w:rPr>
                <w:rFonts w:ascii="Arial" w:hAnsi="Arial"/>
                <w:b w:val="0"/>
                <w:i w:val="0"/>
                <w:sz w:val="18"/>
              </w:rPr>
              <w:t>11</w:t>
            </w:r>
          </w:p>
        </w:tc>
        <w:tc>
          <w:tcPr>
            <w:tcW w:type="dxa" w:w="4535"/>
            <w:vAlign w:val="top"/>
          </w:tcPr>
          <w:p>
            <w:pPr>
              <w:jc w:val="left"/>
            </w:pPr>
            <w:r>
              <w:rPr>
                <w:rFonts w:ascii="Arial" w:hAnsi="Arial"/>
                <w:b w:val="0"/>
                <w:i w:val="0"/>
                <w:sz w:val="18"/>
              </w:rPr>
              <w:t>List of books examined</w:t>
            </w:r>
          </w:p>
        </w:tc>
        <w:tc>
          <w:tcPr>
            <w:tcW w:type="dxa" w:w="5669"/>
            <w:vAlign w:val="top"/>
          </w:tcPr>
          <w:p>
            <w:pPr>
              <w:jc w:val="left"/>
            </w:pPr>
            <w:r>
              <w:rPr>
                <w:rFonts w:ascii="Arial" w:hAnsi="Arial"/>
                <w:b w:val="0"/>
                <w:i w:val="0"/>
                <w:sz w:val="18"/>
              </w:rPr>
              <w:t>Trial Balance, Schedules to Accounts, Board Minutes, Tax Computation, Loan Statements</w:t>
            </w:r>
          </w:p>
        </w:tc>
      </w:tr>
      <w:tr>
        <w:tc>
          <w:tcPr>
            <w:tcW w:type="dxa" w:w="1134"/>
            <w:vAlign w:val="top"/>
            <w:shd w:val="clear" w:color="auto" w:fill="EBF3FB"/>
          </w:tcPr>
          <w:p>
            <w:pPr>
              <w:jc w:val="left"/>
            </w:pPr>
            <w:r>
              <w:rPr>
                <w:rFonts w:ascii="Arial" w:hAnsi="Arial"/>
                <w:b w:val="0"/>
                <w:i w:val="0"/>
                <w:sz w:val="18"/>
              </w:rPr>
              <w:t>12</w:t>
            </w:r>
          </w:p>
        </w:tc>
        <w:tc>
          <w:tcPr>
            <w:tcW w:type="dxa" w:w="4535"/>
            <w:vAlign w:val="top"/>
            <w:shd w:val="clear" w:color="auto" w:fill="EBF3FB"/>
          </w:tcPr>
          <w:p>
            <w:pPr>
              <w:jc w:val="left"/>
            </w:pPr>
            <w:r>
              <w:rPr>
                <w:rFonts w:ascii="Arial" w:hAnsi="Arial"/>
                <w:b w:val="0"/>
                <w:i w:val="0"/>
                <w:sz w:val="18"/>
              </w:rPr>
              <w:t>Whether the profit and loss account includes any profits and gains assessable on presumptive basis — if yes, indicate amount and relevant section</w:t>
            </w:r>
          </w:p>
        </w:tc>
        <w:tc>
          <w:tcPr>
            <w:tcW w:type="dxa" w:w="5669"/>
            <w:vAlign w:val="top"/>
            <w:shd w:val="clear" w:color="auto" w:fill="EBF3FB"/>
          </w:tcPr>
          <w:p>
            <w:pPr>
              <w:jc w:val="left"/>
            </w:pPr>
            <w:r>
              <w:rPr>
                <w:rFonts w:ascii="Arial" w:hAnsi="Arial"/>
                <w:b w:val="0"/>
                <w:i w:val="0"/>
                <w:sz w:val="18"/>
              </w:rPr>
              <w:t>No / Yes — ₹[XX] lakh under Section [XXX]</w:t>
            </w:r>
          </w:p>
        </w:tc>
      </w:tr>
      <w:tr>
        <w:tc>
          <w:tcPr>
            <w:tcW w:type="dxa" w:w="1134"/>
            <w:vAlign w:val="top"/>
          </w:tcPr>
          <w:p>
            <w:pPr>
              <w:jc w:val="left"/>
            </w:pPr>
            <w:r>
              <w:rPr>
                <w:rFonts w:ascii="Arial" w:hAnsi="Arial"/>
                <w:b w:val="0"/>
                <w:i w:val="0"/>
                <w:sz w:val="18"/>
              </w:rPr>
              <w:t>13</w:t>
            </w:r>
          </w:p>
        </w:tc>
        <w:tc>
          <w:tcPr>
            <w:tcW w:type="dxa" w:w="4535"/>
            <w:vAlign w:val="top"/>
          </w:tcPr>
          <w:p>
            <w:pPr>
              <w:jc w:val="left"/>
            </w:pPr>
            <w:r>
              <w:rPr>
                <w:rFonts w:ascii="Arial" w:hAnsi="Arial"/>
                <w:b w:val="0"/>
                <w:i w:val="0"/>
                <w:sz w:val="18"/>
              </w:rPr>
              <w:t>Method of accounting employed — mercantile or cash</w:t>
            </w:r>
          </w:p>
        </w:tc>
        <w:tc>
          <w:tcPr>
            <w:tcW w:type="dxa" w:w="5669"/>
            <w:vAlign w:val="top"/>
          </w:tcPr>
          <w:p>
            <w:pPr>
              <w:jc w:val="left"/>
            </w:pPr>
            <w:r>
              <w:rPr>
                <w:rFonts w:ascii="Arial" w:hAnsi="Arial"/>
                <w:b w:val="0"/>
                <w:i w:val="0"/>
                <w:sz w:val="18"/>
              </w:rPr>
              <w:t>Mercantile System</w:t>
            </w:r>
          </w:p>
        </w:tc>
      </w:tr>
      <w:tr>
        <w:tc>
          <w:tcPr>
            <w:tcW w:type="dxa" w:w="1134"/>
            <w:vAlign w:val="top"/>
            <w:shd w:val="clear" w:color="auto" w:fill="EBF3FB"/>
          </w:tcPr>
          <w:p>
            <w:pPr>
              <w:jc w:val="left"/>
            </w:pPr>
            <w:r>
              <w:rPr>
                <w:rFonts w:ascii="Arial" w:hAnsi="Arial"/>
                <w:b w:val="0"/>
                <w:i w:val="0"/>
                <w:sz w:val="18"/>
              </w:rPr>
              <w:t>14</w:t>
            </w:r>
          </w:p>
        </w:tc>
        <w:tc>
          <w:tcPr>
            <w:tcW w:type="dxa" w:w="4535"/>
            <w:vAlign w:val="top"/>
            <w:shd w:val="clear" w:color="auto" w:fill="EBF3FB"/>
          </w:tcPr>
          <w:p>
            <w:pPr>
              <w:jc w:val="left"/>
            </w:pPr>
            <w:r>
              <w:rPr>
                <w:rFonts w:ascii="Arial" w:hAnsi="Arial"/>
                <w:b w:val="0"/>
                <w:i w:val="0"/>
                <w:sz w:val="18"/>
              </w:rPr>
              <w:t>Method of accounting in the immediately preceding previous year</w:t>
            </w:r>
          </w:p>
        </w:tc>
        <w:tc>
          <w:tcPr>
            <w:tcW w:type="dxa" w:w="5669"/>
            <w:vAlign w:val="top"/>
            <w:shd w:val="clear" w:color="auto" w:fill="EBF3FB"/>
          </w:tcPr>
          <w:p>
            <w:pPr>
              <w:jc w:val="left"/>
            </w:pPr>
            <w:r>
              <w:rPr>
                <w:rFonts w:ascii="Arial" w:hAnsi="Arial"/>
                <w:b w:val="0"/>
                <w:i w:val="0"/>
                <w:sz w:val="18"/>
              </w:rPr>
              <w:t>Mercantile System (unchanged)</w:t>
            </w:r>
          </w:p>
        </w:tc>
      </w:tr>
      <w:tr>
        <w:tc>
          <w:tcPr>
            <w:tcW w:type="dxa" w:w="1134"/>
            <w:vAlign w:val="top"/>
          </w:tcPr>
          <w:p>
            <w:pPr>
              <w:jc w:val="left"/>
            </w:pPr>
            <w:r>
              <w:rPr>
                <w:rFonts w:ascii="Arial" w:hAnsi="Arial"/>
                <w:b w:val="0"/>
                <w:i w:val="0"/>
                <w:sz w:val="18"/>
              </w:rPr>
              <w:t>15</w:t>
            </w:r>
          </w:p>
        </w:tc>
        <w:tc>
          <w:tcPr>
            <w:tcW w:type="dxa" w:w="4535"/>
            <w:vAlign w:val="top"/>
          </w:tcPr>
          <w:p>
            <w:pPr>
              <w:jc w:val="left"/>
            </w:pPr>
            <w:r>
              <w:rPr>
                <w:rFonts w:ascii="Arial" w:hAnsi="Arial"/>
                <w:b w:val="0"/>
                <w:i w:val="0"/>
                <w:sz w:val="18"/>
              </w:rPr>
              <w:t>Effect on profit or loss due to deviation in method of accounting</w:t>
            </w:r>
          </w:p>
        </w:tc>
        <w:tc>
          <w:tcPr>
            <w:tcW w:type="dxa" w:w="5669"/>
            <w:vAlign w:val="top"/>
          </w:tcPr>
          <w:p>
            <w:pPr>
              <w:jc w:val="left"/>
            </w:pPr>
            <w:r>
              <w:rPr>
                <w:rFonts w:ascii="Arial" w:hAnsi="Arial"/>
                <w:b w:val="0"/>
                <w:i w:val="0"/>
                <w:sz w:val="18"/>
              </w:rPr>
              <w:t>NIL — no change in method of accounting</w:t>
            </w:r>
          </w:p>
        </w:tc>
      </w:tr>
      <w:tr>
        <w:tc>
          <w:tcPr>
            <w:tcW w:type="dxa" w:w="1134"/>
            <w:vAlign w:val="top"/>
            <w:shd w:val="clear" w:color="auto" w:fill="EBF3FB"/>
          </w:tcPr>
          <w:p>
            <w:pPr>
              <w:jc w:val="left"/>
            </w:pPr>
            <w:r>
              <w:rPr>
                <w:rFonts w:ascii="Arial" w:hAnsi="Arial"/>
                <w:b w:val="0"/>
                <w:i w:val="0"/>
                <w:sz w:val="18"/>
              </w:rPr>
              <w:t>16</w:t>
            </w:r>
          </w:p>
        </w:tc>
        <w:tc>
          <w:tcPr>
            <w:tcW w:type="dxa" w:w="4535"/>
            <w:vAlign w:val="top"/>
            <w:shd w:val="clear" w:color="auto" w:fill="EBF3FB"/>
          </w:tcPr>
          <w:p>
            <w:pPr>
              <w:jc w:val="left"/>
            </w:pPr>
            <w:r>
              <w:rPr>
                <w:rFonts w:ascii="Arial" w:hAnsi="Arial"/>
                <w:b w:val="0"/>
                <w:i w:val="0"/>
                <w:sz w:val="18"/>
              </w:rPr>
              <w:t>Method of valuation of closing stock</w:t>
            </w:r>
          </w:p>
        </w:tc>
        <w:tc>
          <w:tcPr>
            <w:tcW w:type="dxa" w:w="5669"/>
            <w:vAlign w:val="top"/>
            <w:shd w:val="clear" w:color="auto" w:fill="EBF3FB"/>
          </w:tcPr>
          <w:p>
            <w:pPr>
              <w:jc w:val="left"/>
            </w:pPr>
            <w:r>
              <w:rPr>
                <w:rFonts w:ascii="Arial" w:hAnsi="Arial"/>
                <w:b w:val="0"/>
                <w:i w:val="0"/>
                <w:sz w:val="18"/>
              </w:rPr>
              <w:t>N.A. (Banking Company — no stock-in-trade)</w:t>
            </w:r>
          </w:p>
        </w:tc>
      </w:tr>
      <w:tr>
        <w:tc>
          <w:tcPr>
            <w:tcW w:type="dxa" w:w="1134"/>
            <w:vAlign w:val="top"/>
          </w:tcPr>
          <w:p>
            <w:pPr>
              <w:jc w:val="left"/>
            </w:pPr>
            <w:r>
              <w:rPr>
                <w:rFonts w:ascii="Arial" w:hAnsi="Arial"/>
                <w:b w:val="0"/>
                <w:i w:val="0"/>
                <w:sz w:val="18"/>
              </w:rPr>
              <w:t>17</w:t>
            </w:r>
          </w:p>
        </w:tc>
        <w:tc>
          <w:tcPr>
            <w:tcW w:type="dxa" w:w="4535"/>
            <w:vAlign w:val="top"/>
          </w:tcPr>
          <w:p>
            <w:pPr>
              <w:jc w:val="left"/>
            </w:pPr>
            <w:r>
              <w:rPr>
                <w:rFonts w:ascii="Arial" w:hAnsi="Arial"/>
                <w:b w:val="0"/>
                <w:i w:val="0"/>
                <w:sz w:val="18"/>
              </w:rPr>
              <w:t>Sum paid to persons specified under Section 40A(2)(b)</w:t>
            </w:r>
          </w:p>
        </w:tc>
        <w:tc>
          <w:tcPr>
            <w:tcW w:type="dxa" w:w="5669"/>
            <w:vAlign w:val="top"/>
          </w:tcPr>
          <w:p>
            <w:pPr>
              <w:jc w:val="left"/>
            </w:pPr>
            <w:r>
              <w:rPr>
                <w:rFonts w:ascii="Arial" w:hAnsi="Arial"/>
                <w:b w:val="0"/>
                <w:i w:val="0"/>
                <w:sz w:val="18"/>
              </w:rPr>
              <w:t>[NIL / ₹XX lakh — details in Schedule]</w:t>
            </w:r>
          </w:p>
        </w:tc>
      </w:tr>
      <w:tr>
        <w:tc>
          <w:tcPr>
            <w:tcW w:type="dxa" w:w="1134"/>
            <w:vAlign w:val="top"/>
            <w:shd w:val="clear" w:color="auto" w:fill="EBF3FB"/>
          </w:tcPr>
          <w:p>
            <w:pPr>
              <w:jc w:val="left"/>
            </w:pPr>
            <w:r>
              <w:rPr>
                <w:rFonts w:ascii="Arial" w:hAnsi="Arial"/>
                <w:b w:val="0"/>
                <w:i w:val="0"/>
                <w:sz w:val="18"/>
              </w:rPr>
              <w:t>18</w:t>
            </w:r>
          </w:p>
        </w:tc>
        <w:tc>
          <w:tcPr>
            <w:tcW w:type="dxa" w:w="4535"/>
            <w:vAlign w:val="top"/>
            <w:shd w:val="clear" w:color="auto" w:fill="EBF3FB"/>
          </w:tcPr>
          <w:p>
            <w:pPr>
              <w:jc w:val="left"/>
            </w:pPr>
            <w:r>
              <w:rPr>
                <w:rFonts w:ascii="Arial" w:hAnsi="Arial"/>
                <w:b w:val="0"/>
                <w:i w:val="0"/>
                <w:sz w:val="18"/>
              </w:rPr>
              <w:t>Details of payments under Section 43B (sums deductible only on actual payment)</w:t>
            </w:r>
          </w:p>
        </w:tc>
        <w:tc>
          <w:tcPr>
            <w:tcW w:type="dxa" w:w="5669"/>
            <w:vAlign w:val="top"/>
            <w:shd w:val="clear" w:color="auto" w:fill="EBF3FB"/>
          </w:tcPr>
          <w:p>
            <w:pPr>
              <w:jc w:val="left"/>
            </w:pPr>
            <w:r>
              <w:rPr>
                <w:rFonts w:ascii="Arial" w:hAnsi="Arial"/>
                <w:b w:val="0"/>
                <w:i w:val="0"/>
                <w:sz w:val="18"/>
              </w:rPr>
              <w:t>[PF/gratuity/leave salary — ₹XX lakh paid before due date / after due date — ₹XX lakh]</w:t>
            </w:r>
          </w:p>
        </w:tc>
      </w:tr>
      <w:tr>
        <w:tc>
          <w:tcPr>
            <w:tcW w:type="dxa" w:w="1134"/>
            <w:vAlign w:val="top"/>
          </w:tcPr>
          <w:p>
            <w:pPr>
              <w:jc w:val="left"/>
            </w:pPr>
            <w:r>
              <w:rPr>
                <w:rFonts w:ascii="Arial" w:hAnsi="Arial"/>
                <w:b w:val="0"/>
                <w:i w:val="0"/>
                <w:sz w:val="18"/>
              </w:rPr>
              <w:t>19</w:t>
            </w:r>
          </w:p>
        </w:tc>
        <w:tc>
          <w:tcPr>
            <w:tcW w:type="dxa" w:w="4535"/>
            <w:vAlign w:val="top"/>
          </w:tcPr>
          <w:p>
            <w:pPr>
              <w:jc w:val="left"/>
            </w:pPr>
            <w:r>
              <w:rPr>
                <w:rFonts w:ascii="Arial" w:hAnsi="Arial"/>
                <w:b w:val="0"/>
                <w:i w:val="0"/>
                <w:sz w:val="18"/>
              </w:rPr>
              <w:t>Amounts inadmissible under Section 40(a)</w:t>
            </w:r>
          </w:p>
        </w:tc>
        <w:tc>
          <w:tcPr>
            <w:tcW w:type="dxa" w:w="5669"/>
            <w:vAlign w:val="top"/>
          </w:tcPr>
          <w:p>
            <w:pPr>
              <w:jc w:val="left"/>
            </w:pPr>
            <w:r>
              <w:rPr>
                <w:rFonts w:ascii="Arial" w:hAnsi="Arial"/>
                <w:b w:val="0"/>
                <w:i w:val="0"/>
                <w:sz w:val="18"/>
              </w:rPr>
              <w:t>[NIL / Details of TDS defaults leading to disallowance]</w:t>
            </w:r>
          </w:p>
        </w:tc>
      </w:tr>
      <w:tr>
        <w:tc>
          <w:tcPr>
            <w:tcW w:type="dxa" w:w="1134"/>
            <w:vAlign w:val="top"/>
            <w:shd w:val="clear" w:color="auto" w:fill="EBF3FB"/>
          </w:tcPr>
          <w:p>
            <w:pPr>
              <w:jc w:val="left"/>
            </w:pPr>
            <w:r>
              <w:rPr>
                <w:rFonts w:ascii="Arial" w:hAnsi="Arial"/>
                <w:b w:val="0"/>
                <w:i w:val="0"/>
                <w:sz w:val="18"/>
              </w:rPr>
              <w:t>20</w:t>
            </w:r>
          </w:p>
        </w:tc>
        <w:tc>
          <w:tcPr>
            <w:tcW w:type="dxa" w:w="4535"/>
            <w:vAlign w:val="top"/>
            <w:shd w:val="clear" w:color="auto" w:fill="EBF3FB"/>
          </w:tcPr>
          <w:p>
            <w:pPr>
              <w:jc w:val="left"/>
            </w:pPr>
            <w:r>
              <w:rPr>
                <w:rFonts w:ascii="Arial" w:hAnsi="Arial"/>
                <w:b w:val="0"/>
                <w:i w:val="0"/>
                <w:sz w:val="18"/>
              </w:rPr>
              <w:t>Amounts debited to P&amp;L for personal expenditure</w:t>
            </w:r>
          </w:p>
        </w:tc>
        <w:tc>
          <w:tcPr>
            <w:tcW w:type="dxa" w:w="5669"/>
            <w:vAlign w:val="top"/>
            <w:shd w:val="clear" w:color="auto" w:fill="EBF3FB"/>
          </w:tcPr>
          <w:p>
            <w:pPr>
              <w:jc w:val="left"/>
            </w:pPr>
            <w:r>
              <w:rPr>
                <w:rFonts w:ascii="Arial" w:hAnsi="Arial"/>
                <w:b w:val="0"/>
                <w:i w:val="0"/>
                <w:sz w:val="18"/>
              </w:rPr>
              <w:t>NIL</w:t>
            </w:r>
          </w:p>
        </w:tc>
      </w:tr>
      <w:tr>
        <w:tc>
          <w:tcPr>
            <w:tcW w:type="dxa" w:w="1134"/>
            <w:vAlign w:val="top"/>
          </w:tcPr>
          <w:p>
            <w:pPr>
              <w:jc w:val="left"/>
            </w:pPr>
            <w:r>
              <w:rPr>
                <w:rFonts w:ascii="Arial" w:hAnsi="Arial"/>
                <w:b w:val="0"/>
                <w:i w:val="0"/>
                <w:sz w:val="18"/>
              </w:rPr>
              <w:t>21</w:t>
            </w:r>
          </w:p>
        </w:tc>
        <w:tc>
          <w:tcPr>
            <w:tcW w:type="dxa" w:w="4535"/>
            <w:vAlign w:val="top"/>
          </w:tcPr>
          <w:p>
            <w:pPr>
              <w:jc w:val="left"/>
            </w:pPr>
            <w:r>
              <w:rPr>
                <w:rFonts w:ascii="Arial" w:hAnsi="Arial"/>
                <w:b w:val="0"/>
                <w:i w:val="0"/>
                <w:sz w:val="18"/>
              </w:rPr>
              <w:t>Amount of Central Value Added Tax / Cenvat Credit availed and utilised</w:t>
            </w:r>
          </w:p>
        </w:tc>
        <w:tc>
          <w:tcPr>
            <w:tcW w:type="dxa" w:w="5669"/>
            <w:vAlign w:val="top"/>
          </w:tcPr>
          <w:p>
            <w:pPr>
              <w:jc w:val="left"/>
            </w:pPr>
            <w:r>
              <w:rPr>
                <w:rFonts w:ascii="Arial" w:hAnsi="Arial"/>
                <w:b w:val="0"/>
                <w:i w:val="0"/>
                <w:sz w:val="18"/>
              </w:rPr>
              <w:t>N.A. (Post-GST regime)</w:t>
            </w:r>
          </w:p>
        </w:tc>
      </w:tr>
      <w:tr>
        <w:tc>
          <w:tcPr>
            <w:tcW w:type="dxa" w:w="1134"/>
            <w:vAlign w:val="top"/>
            <w:shd w:val="clear" w:color="auto" w:fill="EBF3FB"/>
          </w:tcPr>
          <w:p>
            <w:pPr>
              <w:jc w:val="left"/>
            </w:pPr>
            <w:r>
              <w:rPr>
                <w:rFonts w:ascii="Arial" w:hAnsi="Arial"/>
                <w:b w:val="0"/>
                <w:i w:val="0"/>
                <w:sz w:val="18"/>
              </w:rPr>
              <w:t>22</w:t>
            </w:r>
          </w:p>
        </w:tc>
        <w:tc>
          <w:tcPr>
            <w:tcW w:type="dxa" w:w="4535"/>
            <w:vAlign w:val="top"/>
            <w:shd w:val="clear" w:color="auto" w:fill="EBF3FB"/>
          </w:tcPr>
          <w:p>
            <w:pPr>
              <w:jc w:val="left"/>
            </w:pPr>
            <w:r>
              <w:rPr>
                <w:rFonts w:ascii="Arial" w:hAnsi="Arial"/>
                <w:b w:val="0"/>
                <w:i w:val="0"/>
                <w:sz w:val="18"/>
              </w:rPr>
              <w:t>Deductions / expenditure disallowable under Section 32AC/32AD/33AB/33ABA/35/35AC/35CCA/35D/35DD/35DDA/35E</w:t>
            </w:r>
          </w:p>
        </w:tc>
        <w:tc>
          <w:tcPr>
            <w:tcW w:type="dxa" w:w="5669"/>
            <w:vAlign w:val="top"/>
            <w:shd w:val="clear" w:color="auto" w:fill="EBF3FB"/>
          </w:tcPr>
          <w:p>
            <w:pPr>
              <w:jc w:val="left"/>
            </w:pPr>
            <w:r>
              <w:rPr>
                <w:rFonts w:ascii="Arial" w:hAnsi="Arial"/>
                <w:b w:val="0"/>
                <w:i w:val="0"/>
                <w:sz w:val="18"/>
              </w:rPr>
              <w:t>[NIL / details]</w:t>
            </w:r>
          </w:p>
        </w:tc>
      </w:tr>
      <w:tr>
        <w:tc>
          <w:tcPr>
            <w:tcW w:type="dxa" w:w="1134"/>
            <w:vAlign w:val="top"/>
          </w:tcPr>
          <w:p>
            <w:pPr>
              <w:jc w:val="left"/>
            </w:pPr>
            <w:r>
              <w:rPr>
                <w:rFonts w:ascii="Arial" w:hAnsi="Arial"/>
                <w:b w:val="0"/>
                <w:i w:val="0"/>
                <w:sz w:val="18"/>
              </w:rPr>
              <w:t>23</w:t>
            </w:r>
          </w:p>
        </w:tc>
        <w:tc>
          <w:tcPr>
            <w:tcW w:type="dxa" w:w="4535"/>
            <w:vAlign w:val="top"/>
          </w:tcPr>
          <w:p>
            <w:pPr>
              <w:jc w:val="left"/>
            </w:pPr>
            <w:r>
              <w:rPr>
                <w:rFonts w:ascii="Arial" w:hAnsi="Arial"/>
                <w:b w:val="0"/>
                <w:i w:val="0"/>
                <w:sz w:val="18"/>
              </w:rPr>
              <w:t>Payments to registered provident fund / approved superannuation fund</w:t>
            </w:r>
          </w:p>
        </w:tc>
        <w:tc>
          <w:tcPr>
            <w:tcW w:type="dxa" w:w="5669"/>
            <w:vAlign w:val="top"/>
          </w:tcPr>
          <w:p>
            <w:pPr>
              <w:jc w:val="left"/>
            </w:pPr>
            <w:r>
              <w:rPr>
                <w:rFonts w:ascii="Arial" w:hAnsi="Arial"/>
                <w:b w:val="0"/>
                <w:i w:val="0"/>
                <w:sz w:val="18"/>
              </w:rPr>
              <w:t>[₹XX lakh — details in Schedule]</w:t>
            </w:r>
          </w:p>
        </w:tc>
      </w:tr>
      <w:tr>
        <w:tc>
          <w:tcPr>
            <w:tcW w:type="dxa" w:w="1134"/>
            <w:vAlign w:val="top"/>
            <w:shd w:val="clear" w:color="auto" w:fill="EBF3FB"/>
          </w:tcPr>
          <w:p>
            <w:pPr>
              <w:jc w:val="left"/>
            </w:pPr>
            <w:r>
              <w:rPr>
                <w:rFonts w:ascii="Arial" w:hAnsi="Arial"/>
                <w:b w:val="0"/>
                <w:i w:val="0"/>
                <w:sz w:val="18"/>
              </w:rPr>
              <w:t>24</w:t>
            </w:r>
          </w:p>
        </w:tc>
        <w:tc>
          <w:tcPr>
            <w:tcW w:type="dxa" w:w="4535"/>
            <w:vAlign w:val="top"/>
            <w:shd w:val="clear" w:color="auto" w:fill="EBF3FB"/>
          </w:tcPr>
          <w:p>
            <w:pPr>
              <w:jc w:val="left"/>
            </w:pPr>
            <w:r>
              <w:rPr>
                <w:rFonts w:ascii="Arial" w:hAnsi="Arial"/>
                <w:b w:val="0"/>
                <w:i w:val="0"/>
                <w:sz w:val="18"/>
              </w:rPr>
              <w:t>Amounts not deductible under Section 36</w:t>
            </w:r>
          </w:p>
        </w:tc>
        <w:tc>
          <w:tcPr>
            <w:tcW w:type="dxa" w:w="5669"/>
            <w:vAlign w:val="top"/>
            <w:shd w:val="clear" w:color="auto" w:fill="EBF3FB"/>
          </w:tcPr>
          <w:p>
            <w:pPr>
              <w:jc w:val="left"/>
            </w:pPr>
            <w:r>
              <w:rPr>
                <w:rFonts w:ascii="Arial" w:hAnsi="Arial"/>
                <w:b w:val="0"/>
                <w:i w:val="0"/>
                <w:sz w:val="18"/>
              </w:rPr>
              <w:t>[Bad debts — ₹XX lakh written off, eligible under Sec. 36(1)(vii); Provision for NPA (eligible u/s 36(1)(viia) for scheduled banks — ₹XX lakh)]</w:t>
            </w:r>
          </w:p>
        </w:tc>
      </w:tr>
      <w:tr>
        <w:tc>
          <w:tcPr>
            <w:tcW w:type="dxa" w:w="1134"/>
            <w:vAlign w:val="top"/>
          </w:tcPr>
          <w:p>
            <w:pPr>
              <w:jc w:val="left"/>
            </w:pPr>
            <w:r>
              <w:rPr>
                <w:rFonts w:ascii="Arial" w:hAnsi="Arial"/>
                <w:b w:val="0"/>
                <w:i w:val="0"/>
                <w:sz w:val="18"/>
              </w:rPr>
              <w:t>25</w:t>
            </w:r>
          </w:p>
        </w:tc>
        <w:tc>
          <w:tcPr>
            <w:tcW w:type="dxa" w:w="4535"/>
            <w:vAlign w:val="top"/>
          </w:tcPr>
          <w:p>
            <w:pPr>
              <w:jc w:val="left"/>
            </w:pPr>
            <w:r>
              <w:rPr>
                <w:rFonts w:ascii="Arial" w:hAnsi="Arial"/>
                <w:b w:val="0"/>
                <w:i w:val="0"/>
                <w:sz w:val="18"/>
              </w:rPr>
              <w:t>Amounts admissible under Section 33AB/33ABA/35/35CCA/35CCB/35D/35DD/35DDA/35E</w:t>
            </w:r>
          </w:p>
        </w:tc>
        <w:tc>
          <w:tcPr>
            <w:tcW w:type="dxa" w:w="5669"/>
            <w:vAlign w:val="top"/>
          </w:tcPr>
          <w:p>
            <w:pPr>
              <w:jc w:val="left"/>
            </w:pPr>
            <w:r>
              <w:rPr>
                <w:rFonts w:ascii="Arial" w:hAnsi="Arial"/>
                <w:b w:val="0"/>
                <w:i w:val="0"/>
                <w:sz w:val="18"/>
              </w:rPr>
              <w:t>[NIL / details]</w:t>
            </w:r>
          </w:p>
        </w:tc>
      </w:tr>
      <w:tr>
        <w:tc>
          <w:tcPr>
            <w:tcW w:type="dxa" w:w="1134"/>
            <w:vAlign w:val="top"/>
            <w:shd w:val="clear" w:color="auto" w:fill="EBF3FB"/>
          </w:tcPr>
          <w:p>
            <w:pPr>
              <w:jc w:val="left"/>
            </w:pPr>
            <w:r>
              <w:rPr>
                <w:rFonts w:ascii="Arial" w:hAnsi="Arial"/>
                <w:b w:val="0"/>
                <w:i w:val="0"/>
                <w:sz w:val="18"/>
              </w:rPr>
              <w:t>26(A)</w:t>
            </w:r>
          </w:p>
        </w:tc>
        <w:tc>
          <w:tcPr>
            <w:tcW w:type="dxa" w:w="4535"/>
            <w:vAlign w:val="top"/>
            <w:shd w:val="clear" w:color="auto" w:fill="EBF3FB"/>
          </w:tcPr>
          <w:p>
            <w:pPr>
              <w:jc w:val="left"/>
            </w:pPr>
            <w:r>
              <w:rPr>
                <w:rFonts w:ascii="Arial" w:hAnsi="Arial"/>
                <w:b w:val="0"/>
                <w:i w:val="0"/>
                <w:sz w:val="18"/>
              </w:rPr>
              <w:t>Details of any amount borrowed on hundi or any amount due on any hundi, repaid otherwise than through an account payee cheque</w:t>
            </w:r>
          </w:p>
        </w:tc>
        <w:tc>
          <w:tcPr>
            <w:tcW w:type="dxa" w:w="5669"/>
            <w:vAlign w:val="top"/>
            <w:shd w:val="clear" w:color="auto" w:fill="EBF3FB"/>
          </w:tcPr>
          <w:p>
            <w:pPr>
              <w:jc w:val="left"/>
            </w:pPr>
            <w:r>
              <w:rPr>
                <w:rFonts w:ascii="Arial" w:hAnsi="Arial"/>
                <w:b w:val="0"/>
                <w:i w:val="0"/>
                <w:sz w:val="18"/>
              </w:rPr>
              <w:t>NIL</w:t>
            </w:r>
          </w:p>
        </w:tc>
      </w:tr>
      <w:tr>
        <w:tc>
          <w:tcPr>
            <w:tcW w:type="dxa" w:w="1134"/>
            <w:vAlign w:val="top"/>
          </w:tcPr>
          <w:p>
            <w:pPr>
              <w:jc w:val="left"/>
            </w:pPr>
            <w:r>
              <w:rPr>
                <w:rFonts w:ascii="Arial" w:hAnsi="Arial"/>
                <w:b w:val="0"/>
                <w:i w:val="0"/>
                <w:sz w:val="18"/>
              </w:rPr>
              <w:t>26(B)</w:t>
            </w:r>
          </w:p>
        </w:tc>
        <w:tc>
          <w:tcPr>
            <w:tcW w:type="dxa" w:w="4535"/>
            <w:vAlign w:val="top"/>
          </w:tcPr>
          <w:p>
            <w:pPr>
              <w:jc w:val="left"/>
            </w:pPr>
            <w:r>
              <w:rPr>
                <w:rFonts w:ascii="Arial" w:hAnsi="Arial"/>
                <w:b w:val="0"/>
                <w:i w:val="0"/>
                <w:sz w:val="18"/>
              </w:rPr>
              <w:t>Sum received/repaid as loan/deposit otherwise than by account payee cheque &gt; ₹20,000</w:t>
            </w:r>
          </w:p>
        </w:tc>
        <w:tc>
          <w:tcPr>
            <w:tcW w:type="dxa" w:w="5669"/>
            <w:vAlign w:val="top"/>
          </w:tcPr>
          <w:p>
            <w:pPr>
              <w:jc w:val="left"/>
            </w:pPr>
            <w:r>
              <w:rPr>
                <w:rFonts w:ascii="Arial" w:hAnsi="Arial"/>
                <w:b w:val="0"/>
                <w:i w:val="0"/>
                <w:sz w:val="18"/>
              </w:rPr>
              <w:t>NIL — all loans/deposits received/repaid by banking channels</w:t>
            </w:r>
          </w:p>
        </w:tc>
      </w:tr>
      <w:tr>
        <w:tc>
          <w:tcPr>
            <w:tcW w:type="dxa" w:w="1134"/>
            <w:vAlign w:val="top"/>
            <w:shd w:val="clear" w:color="auto" w:fill="EBF3FB"/>
          </w:tcPr>
          <w:p>
            <w:pPr>
              <w:jc w:val="left"/>
            </w:pPr>
            <w:r>
              <w:rPr>
                <w:rFonts w:ascii="Arial" w:hAnsi="Arial"/>
                <w:b w:val="0"/>
                <w:i w:val="0"/>
                <w:sz w:val="18"/>
              </w:rPr>
              <w:t>27</w:t>
            </w:r>
          </w:p>
        </w:tc>
        <w:tc>
          <w:tcPr>
            <w:tcW w:type="dxa" w:w="4535"/>
            <w:vAlign w:val="top"/>
            <w:shd w:val="clear" w:color="auto" w:fill="EBF3FB"/>
          </w:tcPr>
          <w:p>
            <w:pPr>
              <w:jc w:val="left"/>
            </w:pPr>
            <w:r>
              <w:rPr>
                <w:rFonts w:ascii="Arial" w:hAnsi="Arial"/>
                <w:b w:val="0"/>
                <w:i w:val="0"/>
                <w:sz w:val="18"/>
              </w:rPr>
              <w:t>Brought forward losses, depreciation etc.</w:t>
            </w:r>
          </w:p>
        </w:tc>
        <w:tc>
          <w:tcPr>
            <w:tcW w:type="dxa" w:w="5669"/>
            <w:vAlign w:val="top"/>
            <w:shd w:val="clear" w:color="auto" w:fill="EBF3FB"/>
          </w:tcPr>
          <w:p>
            <w:pPr>
              <w:jc w:val="left"/>
            </w:pPr>
            <w:r>
              <w:rPr>
                <w:rFonts w:ascii="Arial" w:hAnsi="Arial"/>
                <w:b w:val="0"/>
                <w:i w:val="0"/>
                <w:sz w:val="18"/>
              </w:rPr>
              <w:t>[₹XX lakh — as per Schedule]</w:t>
            </w:r>
          </w:p>
        </w:tc>
      </w:tr>
      <w:tr>
        <w:tc>
          <w:tcPr>
            <w:tcW w:type="dxa" w:w="1134"/>
            <w:vAlign w:val="top"/>
          </w:tcPr>
          <w:p>
            <w:pPr>
              <w:jc w:val="left"/>
            </w:pPr>
            <w:r>
              <w:rPr>
                <w:rFonts w:ascii="Arial" w:hAnsi="Arial"/>
                <w:b w:val="0"/>
                <w:i w:val="0"/>
                <w:sz w:val="18"/>
              </w:rPr>
              <w:t>28</w:t>
            </w:r>
          </w:p>
        </w:tc>
        <w:tc>
          <w:tcPr>
            <w:tcW w:type="dxa" w:w="4535"/>
            <w:vAlign w:val="top"/>
          </w:tcPr>
          <w:p>
            <w:pPr>
              <w:jc w:val="left"/>
            </w:pPr>
            <w:r>
              <w:rPr>
                <w:rFonts w:ascii="Arial" w:hAnsi="Arial"/>
                <w:b w:val="0"/>
                <w:i w:val="0"/>
                <w:sz w:val="18"/>
              </w:rPr>
              <w:t>Assessment of tax deducted at source — whether TDS returns filed — sections 194A/194C etc.</w:t>
            </w:r>
          </w:p>
        </w:tc>
        <w:tc>
          <w:tcPr>
            <w:tcW w:type="dxa" w:w="5669"/>
            <w:vAlign w:val="top"/>
          </w:tcPr>
          <w:p>
            <w:pPr>
              <w:jc w:val="left"/>
            </w:pPr>
            <w:r>
              <w:rPr>
                <w:rFonts w:ascii="Arial" w:hAnsi="Arial"/>
                <w:b w:val="0"/>
                <w:i w:val="0"/>
                <w:sz w:val="18"/>
              </w:rPr>
              <w:t>[Yes — TDS returns filed for Q1 to Q4; No defaults / defaults details]</w:t>
            </w:r>
          </w:p>
        </w:tc>
      </w:tr>
      <w:tr>
        <w:tc>
          <w:tcPr>
            <w:tcW w:type="dxa" w:w="1134"/>
            <w:vAlign w:val="top"/>
            <w:shd w:val="clear" w:color="auto" w:fill="EBF3FB"/>
          </w:tcPr>
          <w:p>
            <w:pPr>
              <w:jc w:val="left"/>
            </w:pPr>
            <w:r>
              <w:rPr>
                <w:rFonts w:ascii="Arial" w:hAnsi="Arial"/>
                <w:b w:val="0"/>
                <w:i w:val="0"/>
                <w:sz w:val="18"/>
              </w:rPr>
              <w:t>29</w:t>
            </w:r>
          </w:p>
        </w:tc>
        <w:tc>
          <w:tcPr>
            <w:tcW w:type="dxa" w:w="4535"/>
            <w:vAlign w:val="top"/>
            <w:shd w:val="clear" w:color="auto" w:fill="EBF3FB"/>
          </w:tcPr>
          <w:p>
            <w:pPr>
              <w:jc w:val="left"/>
            </w:pPr>
            <w:r>
              <w:rPr>
                <w:rFonts w:ascii="Arial" w:hAnsi="Arial"/>
                <w:b w:val="0"/>
                <w:i w:val="0"/>
                <w:sz w:val="18"/>
              </w:rPr>
              <w:t>Quantitative details — N.A. for banks</w:t>
            </w:r>
          </w:p>
        </w:tc>
        <w:tc>
          <w:tcPr>
            <w:tcW w:type="dxa" w:w="5669"/>
            <w:vAlign w:val="top"/>
            <w:shd w:val="clear" w:color="auto" w:fill="EBF3FB"/>
          </w:tcPr>
          <w:p>
            <w:pPr>
              <w:jc w:val="left"/>
            </w:pPr>
            <w:r>
              <w:rPr>
                <w:rFonts w:ascii="Arial" w:hAnsi="Arial"/>
                <w:b w:val="0"/>
                <w:i w:val="0"/>
                <w:sz w:val="18"/>
              </w:rPr>
              <w:t>N.A. — Banking Company</w:t>
            </w:r>
          </w:p>
        </w:tc>
      </w:tr>
      <w:tr>
        <w:tc>
          <w:tcPr>
            <w:tcW w:type="dxa" w:w="1134"/>
            <w:vAlign w:val="top"/>
          </w:tcPr>
          <w:p>
            <w:pPr>
              <w:jc w:val="left"/>
            </w:pPr>
            <w:r>
              <w:rPr>
                <w:rFonts w:ascii="Arial" w:hAnsi="Arial"/>
                <w:b w:val="0"/>
                <w:i w:val="0"/>
                <w:sz w:val="18"/>
              </w:rPr>
              <w:t>30</w:t>
            </w:r>
          </w:p>
        </w:tc>
        <w:tc>
          <w:tcPr>
            <w:tcW w:type="dxa" w:w="4535"/>
            <w:vAlign w:val="top"/>
          </w:tcPr>
          <w:p>
            <w:pPr>
              <w:jc w:val="left"/>
            </w:pPr>
            <w:r>
              <w:rPr>
                <w:rFonts w:ascii="Arial" w:hAnsi="Arial"/>
                <w:b w:val="0"/>
                <w:i w:val="0"/>
                <w:sz w:val="18"/>
              </w:rPr>
              <w:t>Details of physical verification of inventory conducted during the year</w:t>
            </w:r>
          </w:p>
        </w:tc>
        <w:tc>
          <w:tcPr>
            <w:tcW w:type="dxa" w:w="5669"/>
            <w:vAlign w:val="top"/>
          </w:tcPr>
          <w:p>
            <w:pPr>
              <w:jc w:val="left"/>
            </w:pPr>
            <w:r>
              <w:rPr>
                <w:rFonts w:ascii="Arial" w:hAnsi="Arial"/>
                <w:b w:val="0"/>
                <w:i w:val="0"/>
                <w:sz w:val="18"/>
              </w:rPr>
              <w:t>N.A. — Banking Company</w:t>
            </w:r>
          </w:p>
        </w:tc>
      </w:tr>
      <w:tr>
        <w:tc>
          <w:tcPr>
            <w:tcW w:type="dxa" w:w="1134"/>
            <w:vAlign w:val="top"/>
            <w:shd w:val="clear" w:color="auto" w:fill="EBF3FB"/>
          </w:tcPr>
          <w:p>
            <w:pPr>
              <w:jc w:val="left"/>
            </w:pPr>
            <w:r>
              <w:rPr>
                <w:rFonts w:ascii="Arial" w:hAnsi="Arial"/>
                <w:b w:val="0"/>
                <w:i w:val="0"/>
                <w:sz w:val="18"/>
              </w:rPr>
              <w:t>31</w:t>
            </w:r>
          </w:p>
        </w:tc>
        <w:tc>
          <w:tcPr>
            <w:tcW w:type="dxa" w:w="4535"/>
            <w:vAlign w:val="top"/>
            <w:shd w:val="clear" w:color="auto" w:fill="EBF3FB"/>
          </w:tcPr>
          <w:p>
            <w:pPr>
              <w:jc w:val="left"/>
            </w:pPr>
            <w:r>
              <w:rPr>
                <w:rFonts w:ascii="Arial" w:hAnsi="Arial"/>
                <w:b w:val="0"/>
                <w:i w:val="0"/>
                <w:sz w:val="18"/>
              </w:rPr>
              <w:t>Details of assets acquired under SARFAESI / Security Enforcement</w:t>
            </w:r>
          </w:p>
        </w:tc>
        <w:tc>
          <w:tcPr>
            <w:tcW w:type="dxa" w:w="5669"/>
            <w:vAlign w:val="top"/>
            <w:shd w:val="clear" w:color="auto" w:fill="EBF3FB"/>
          </w:tcPr>
          <w:p>
            <w:pPr>
              <w:jc w:val="left"/>
            </w:pPr>
            <w:r>
              <w:rPr>
                <w:rFonts w:ascii="Arial" w:hAnsi="Arial"/>
                <w:b w:val="0"/>
                <w:i w:val="0"/>
                <w:sz w:val="18"/>
              </w:rPr>
              <w:t>[Details if applicable / NIL]</w:t>
            </w:r>
          </w:p>
        </w:tc>
      </w:tr>
      <w:tr>
        <w:tc>
          <w:tcPr>
            <w:tcW w:type="dxa" w:w="1134"/>
            <w:vAlign w:val="top"/>
          </w:tcPr>
          <w:p>
            <w:pPr>
              <w:jc w:val="left"/>
            </w:pPr>
            <w:r>
              <w:rPr>
                <w:rFonts w:ascii="Arial" w:hAnsi="Arial"/>
                <w:b w:val="0"/>
                <w:i w:val="0"/>
                <w:sz w:val="18"/>
              </w:rPr>
              <w:t>32</w:t>
            </w:r>
          </w:p>
        </w:tc>
        <w:tc>
          <w:tcPr>
            <w:tcW w:type="dxa" w:w="4535"/>
            <w:vAlign w:val="top"/>
          </w:tcPr>
          <w:p>
            <w:pPr>
              <w:jc w:val="left"/>
            </w:pPr>
            <w:r>
              <w:rPr>
                <w:rFonts w:ascii="Arial" w:hAnsi="Arial"/>
                <w:b w:val="0"/>
                <w:i w:val="0"/>
                <w:sz w:val="18"/>
              </w:rPr>
              <w:t>Dividend income from Indian companies claimed as exempt u/s 10(34)</w:t>
            </w:r>
          </w:p>
        </w:tc>
        <w:tc>
          <w:tcPr>
            <w:tcW w:type="dxa" w:w="5669"/>
            <w:vAlign w:val="top"/>
          </w:tcPr>
          <w:p>
            <w:pPr>
              <w:jc w:val="left"/>
            </w:pPr>
            <w:r>
              <w:rPr>
                <w:rFonts w:ascii="Arial" w:hAnsi="Arial"/>
                <w:b w:val="0"/>
                <w:i w:val="0"/>
                <w:sz w:val="18"/>
              </w:rPr>
              <w:t>[₹XX lakh / NIL]</w:t>
            </w:r>
          </w:p>
        </w:tc>
      </w:tr>
      <w:tr>
        <w:tc>
          <w:tcPr>
            <w:tcW w:type="dxa" w:w="1134"/>
            <w:vAlign w:val="top"/>
            <w:shd w:val="clear" w:color="auto" w:fill="EBF3FB"/>
          </w:tcPr>
          <w:p>
            <w:pPr>
              <w:jc w:val="left"/>
            </w:pPr>
            <w:r>
              <w:rPr>
                <w:rFonts w:ascii="Arial" w:hAnsi="Arial"/>
                <w:b w:val="0"/>
                <w:i w:val="0"/>
                <w:sz w:val="18"/>
              </w:rPr>
              <w:t>33</w:t>
            </w:r>
          </w:p>
        </w:tc>
        <w:tc>
          <w:tcPr>
            <w:tcW w:type="dxa" w:w="4535"/>
            <w:vAlign w:val="top"/>
            <w:shd w:val="clear" w:color="auto" w:fill="EBF3FB"/>
          </w:tcPr>
          <w:p>
            <w:pPr>
              <w:jc w:val="left"/>
            </w:pPr>
            <w:r>
              <w:rPr>
                <w:rFonts w:ascii="Arial" w:hAnsi="Arial"/>
                <w:b w:val="0"/>
                <w:i w:val="0"/>
                <w:sz w:val="18"/>
              </w:rPr>
              <w:t>Details of deduction claimed u/s 80G / 80GGC</w:t>
            </w:r>
          </w:p>
        </w:tc>
        <w:tc>
          <w:tcPr>
            <w:tcW w:type="dxa" w:w="5669"/>
            <w:vAlign w:val="top"/>
            <w:shd w:val="clear" w:color="auto" w:fill="EBF3FB"/>
          </w:tcPr>
          <w:p>
            <w:pPr>
              <w:jc w:val="left"/>
            </w:pPr>
            <w:r>
              <w:rPr>
                <w:rFonts w:ascii="Arial" w:hAnsi="Arial"/>
                <w:b w:val="0"/>
                <w:i w:val="0"/>
                <w:sz w:val="18"/>
              </w:rPr>
              <w:t>[NIL / ₹XX lakh]</w:t>
            </w:r>
          </w:p>
        </w:tc>
      </w:tr>
      <w:tr>
        <w:tc>
          <w:tcPr>
            <w:tcW w:type="dxa" w:w="1134"/>
            <w:vAlign w:val="top"/>
          </w:tcPr>
          <w:p>
            <w:pPr>
              <w:jc w:val="left"/>
            </w:pPr>
            <w:r>
              <w:rPr>
                <w:rFonts w:ascii="Arial" w:hAnsi="Arial"/>
                <w:b w:val="0"/>
                <w:i w:val="0"/>
                <w:sz w:val="18"/>
              </w:rPr>
              <w:t>34</w:t>
            </w:r>
          </w:p>
        </w:tc>
        <w:tc>
          <w:tcPr>
            <w:tcW w:type="dxa" w:w="4535"/>
            <w:vAlign w:val="top"/>
          </w:tcPr>
          <w:p>
            <w:pPr>
              <w:jc w:val="left"/>
            </w:pPr>
            <w:r>
              <w:rPr>
                <w:rFonts w:ascii="Arial" w:hAnsi="Arial"/>
                <w:b w:val="0"/>
                <w:i w:val="0"/>
                <w:sz w:val="18"/>
              </w:rPr>
              <w:t>Particulars of fringe benefits</w:t>
            </w:r>
          </w:p>
        </w:tc>
        <w:tc>
          <w:tcPr>
            <w:tcW w:type="dxa" w:w="5669"/>
            <w:vAlign w:val="top"/>
          </w:tcPr>
          <w:p>
            <w:pPr>
              <w:jc w:val="left"/>
            </w:pPr>
            <w:r>
              <w:rPr>
                <w:rFonts w:ascii="Arial" w:hAnsi="Arial"/>
                <w:b w:val="0"/>
                <w:i w:val="0"/>
                <w:sz w:val="18"/>
              </w:rPr>
              <w:t>N.A. (FBT abolished)</w:t>
            </w:r>
          </w:p>
        </w:tc>
      </w:tr>
      <w:tr>
        <w:tc>
          <w:tcPr>
            <w:tcW w:type="dxa" w:w="1134"/>
            <w:vAlign w:val="top"/>
            <w:shd w:val="clear" w:color="auto" w:fill="EBF3FB"/>
          </w:tcPr>
          <w:p>
            <w:pPr>
              <w:jc w:val="left"/>
            </w:pPr>
            <w:r>
              <w:rPr>
                <w:rFonts w:ascii="Arial" w:hAnsi="Arial"/>
                <w:b w:val="0"/>
                <w:i w:val="0"/>
                <w:sz w:val="18"/>
              </w:rPr>
              <w:t>35</w:t>
            </w:r>
          </w:p>
        </w:tc>
        <w:tc>
          <w:tcPr>
            <w:tcW w:type="dxa" w:w="4535"/>
            <w:vAlign w:val="top"/>
            <w:shd w:val="clear" w:color="auto" w:fill="EBF3FB"/>
          </w:tcPr>
          <w:p>
            <w:pPr>
              <w:jc w:val="left"/>
            </w:pPr>
            <w:r>
              <w:rPr>
                <w:rFonts w:ascii="Arial" w:hAnsi="Arial"/>
                <w:b w:val="0"/>
                <w:i w:val="0"/>
                <w:sz w:val="18"/>
              </w:rPr>
              <w:t>MAT / AMT provisions — Section 115JB</w:t>
            </w:r>
          </w:p>
        </w:tc>
        <w:tc>
          <w:tcPr>
            <w:tcW w:type="dxa" w:w="5669"/>
            <w:vAlign w:val="top"/>
            <w:shd w:val="clear" w:color="auto" w:fill="EBF3FB"/>
          </w:tcPr>
          <w:p>
            <w:pPr>
              <w:jc w:val="left"/>
            </w:pPr>
            <w:r>
              <w:rPr>
                <w:rFonts w:ascii="Arial" w:hAnsi="Arial"/>
                <w:b w:val="0"/>
                <w:i w:val="0"/>
                <w:sz w:val="18"/>
              </w:rPr>
              <w:t>[Not applicable to Banking Companies under Second Proviso to Section 115JB / As applicable]</w:t>
            </w:r>
          </w:p>
        </w:tc>
      </w:tr>
      <w:tr>
        <w:tc>
          <w:tcPr>
            <w:tcW w:type="dxa" w:w="1134"/>
            <w:vAlign w:val="top"/>
          </w:tcPr>
          <w:p>
            <w:pPr>
              <w:jc w:val="left"/>
            </w:pPr>
            <w:r>
              <w:rPr>
                <w:rFonts w:ascii="Arial" w:hAnsi="Arial"/>
                <w:b w:val="0"/>
                <w:i w:val="0"/>
                <w:sz w:val="18"/>
              </w:rPr>
              <w:t>36</w:t>
            </w:r>
          </w:p>
        </w:tc>
        <w:tc>
          <w:tcPr>
            <w:tcW w:type="dxa" w:w="4535"/>
            <w:vAlign w:val="top"/>
          </w:tcPr>
          <w:p>
            <w:pPr>
              <w:jc w:val="left"/>
            </w:pPr>
            <w:r>
              <w:rPr>
                <w:rFonts w:ascii="Arial" w:hAnsi="Arial"/>
                <w:b w:val="0"/>
                <w:i w:val="0"/>
                <w:sz w:val="18"/>
              </w:rPr>
              <w:t>Audit objections — whether pending</w:t>
            </w:r>
          </w:p>
        </w:tc>
        <w:tc>
          <w:tcPr>
            <w:tcW w:type="dxa" w:w="5669"/>
            <w:vAlign w:val="top"/>
          </w:tcPr>
          <w:p>
            <w:pPr>
              <w:jc w:val="left"/>
            </w:pPr>
            <w:r>
              <w:rPr>
                <w:rFonts w:ascii="Arial" w:hAnsi="Arial"/>
                <w:b w:val="0"/>
                <w:i w:val="0"/>
                <w:sz w:val="18"/>
              </w:rPr>
              <w:t>[NIL / Details of audit objections by previous auditor pending resolution]</w:t>
            </w:r>
          </w:p>
        </w:tc>
      </w:tr>
      <w:tr>
        <w:tc>
          <w:tcPr>
            <w:tcW w:type="dxa" w:w="1134"/>
            <w:vAlign w:val="top"/>
            <w:shd w:val="clear" w:color="auto" w:fill="EBF3FB"/>
          </w:tcPr>
          <w:p>
            <w:pPr>
              <w:jc w:val="left"/>
            </w:pPr>
            <w:r>
              <w:rPr>
                <w:rFonts w:ascii="Arial" w:hAnsi="Arial"/>
                <w:b w:val="0"/>
                <w:i w:val="0"/>
                <w:sz w:val="18"/>
              </w:rPr>
              <w:t>37</w:t>
            </w:r>
          </w:p>
        </w:tc>
        <w:tc>
          <w:tcPr>
            <w:tcW w:type="dxa" w:w="4535"/>
            <w:vAlign w:val="top"/>
            <w:shd w:val="clear" w:color="auto" w:fill="EBF3FB"/>
          </w:tcPr>
          <w:p>
            <w:pPr>
              <w:jc w:val="left"/>
            </w:pPr>
            <w:r>
              <w:rPr>
                <w:rFonts w:ascii="Arial" w:hAnsi="Arial"/>
                <w:b w:val="0"/>
                <w:i w:val="0"/>
                <w:sz w:val="18"/>
              </w:rPr>
              <w:t>ICDS deviations</w:t>
            </w:r>
          </w:p>
        </w:tc>
        <w:tc>
          <w:tcPr>
            <w:tcW w:type="dxa" w:w="5669"/>
            <w:vAlign w:val="top"/>
            <w:shd w:val="clear" w:color="auto" w:fill="EBF3FB"/>
          </w:tcPr>
          <w:p>
            <w:pPr>
              <w:jc w:val="left"/>
            </w:pPr>
            <w:r>
              <w:rPr>
                <w:rFonts w:ascii="Arial" w:hAnsi="Arial"/>
                <w:b w:val="0"/>
                <w:i w:val="0"/>
                <w:sz w:val="18"/>
              </w:rPr>
              <w:t>[NIL / Details of deviations from ICDS I to X with impact on income]</w:t>
            </w:r>
          </w:p>
        </w:tc>
      </w:tr>
      <w:tr>
        <w:tc>
          <w:tcPr>
            <w:tcW w:type="dxa" w:w="1134"/>
            <w:vAlign w:val="top"/>
          </w:tcPr>
          <w:p>
            <w:pPr>
              <w:jc w:val="left"/>
            </w:pPr>
            <w:r>
              <w:rPr>
                <w:rFonts w:ascii="Arial" w:hAnsi="Arial"/>
                <w:b w:val="0"/>
                <w:i w:val="0"/>
                <w:sz w:val="18"/>
              </w:rPr>
              <w:t>38</w:t>
            </w:r>
          </w:p>
        </w:tc>
        <w:tc>
          <w:tcPr>
            <w:tcW w:type="dxa" w:w="4535"/>
            <w:vAlign w:val="top"/>
          </w:tcPr>
          <w:p>
            <w:pPr>
              <w:jc w:val="left"/>
            </w:pPr>
            <w:r>
              <w:rPr>
                <w:rFonts w:ascii="Arial" w:hAnsi="Arial"/>
                <w:b w:val="0"/>
                <w:i w:val="0"/>
                <w:sz w:val="18"/>
              </w:rPr>
              <w:t>Particulars of deemed dividend — Section 2(22)(e)</w:t>
            </w:r>
          </w:p>
        </w:tc>
        <w:tc>
          <w:tcPr>
            <w:tcW w:type="dxa" w:w="5669"/>
            <w:vAlign w:val="top"/>
          </w:tcPr>
          <w:p>
            <w:pPr>
              <w:jc w:val="left"/>
            </w:pPr>
            <w:r>
              <w:rPr>
                <w:rFonts w:ascii="Arial" w:hAnsi="Arial"/>
                <w:b w:val="0"/>
                <w:i w:val="0"/>
                <w:sz w:val="18"/>
              </w:rPr>
              <w:t>[NIL / ₹XX lakh — details in Schedule]</w:t>
            </w:r>
          </w:p>
        </w:tc>
      </w:tr>
      <w:tr>
        <w:tc>
          <w:tcPr>
            <w:tcW w:type="dxa" w:w="1134"/>
            <w:vAlign w:val="top"/>
            <w:shd w:val="clear" w:color="auto" w:fill="EBF3FB"/>
          </w:tcPr>
          <w:p>
            <w:pPr>
              <w:jc w:val="left"/>
            </w:pPr>
            <w:r>
              <w:rPr>
                <w:rFonts w:ascii="Arial" w:hAnsi="Arial"/>
                <w:b w:val="0"/>
                <w:i w:val="0"/>
                <w:sz w:val="18"/>
              </w:rPr>
              <w:t>39–44</w:t>
            </w:r>
          </w:p>
        </w:tc>
        <w:tc>
          <w:tcPr>
            <w:tcW w:type="dxa" w:w="4535"/>
            <w:vAlign w:val="top"/>
            <w:shd w:val="clear" w:color="auto" w:fill="EBF3FB"/>
          </w:tcPr>
          <w:p>
            <w:pPr>
              <w:jc w:val="left"/>
            </w:pPr>
            <w:r>
              <w:rPr>
                <w:rFonts w:ascii="Arial" w:hAnsi="Arial"/>
                <w:b w:val="0"/>
                <w:i w:val="0"/>
                <w:sz w:val="18"/>
              </w:rPr>
              <w:t>Other prescribed particulars under Finance Act amendments</w:t>
            </w:r>
          </w:p>
        </w:tc>
        <w:tc>
          <w:tcPr>
            <w:tcW w:type="dxa" w:w="5669"/>
            <w:vAlign w:val="top"/>
            <w:shd w:val="clear" w:color="auto" w:fill="EBF3FB"/>
          </w:tcPr>
          <w:p>
            <w:pPr>
              <w:jc w:val="left"/>
            </w:pPr>
            <w:r>
              <w:rPr>
                <w:rFonts w:ascii="Arial" w:hAnsi="Arial"/>
                <w:b w:val="0"/>
                <w:i w:val="0"/>
                <w:sz w:val="18"/>
              </w:rPr>
              <w:t>[To be filled based on applicable year's Finance Act requirements]</w:t>
            </w:r>
          </w:p>
        </w:tc>
      </w:tr>
    </w:tbl>
    <w:p/>
    <w:p>
      <w:pPr>
        <w:spacing w:before="80" w:after="80"/>
        <w:jc w:val="left"/>
      </w:pPr>
      <w:r>
        <w:rPr>
          <w:rFonts w:ascii="Arial" w:hAnsi="Arial"/>
          <w:b w:val="0"/>
          <w:i/>
          <w:sz w:val="18"/>
        </w:rPr>
        <w:t>Note: This is a template checklist for Form 3CD completion. The actual Form 3CD is to be filed on the Income Tax portal (www.incometax.gov.in) in the prescribed XML format using audit tool or portal utilities. This document serves as the supporting working paper for data compilation.</w:t>
      </w:r>
    </w:p>
    <w:p/>
    <w:p/>
    <w:p>
      <w:pPr>
        <w:spacing w:before="80" w:after="80"/>
        <w:jc w:val="left"/>
      </w:pPr>
      <w:r>
        <w:rPr>
          <w:rFonts w:ascii="Arial" w:hAnsi="Arial"/>
          <w:b/>
          <w:i w:val="0"/>
          <w:sz w:val="20"/>
        </w:rPr>
        <w:t>For Varma &amp; Varma</w:t>
      </w:r>
    </w:p>
    <w:p>
      <w:pPr>
        <w:spacing w:before="80" w:after="80"/>
        <w:jc w:val="left"/>
      </w:pPr>
      <w:r>
        <w:rPr>
          <w:rFonts w:ascii="Arial" w:hAnsi="Arial"/>
          <w:b w:val="0"/>
          <w:i w:val="0"/>
          <w:sz w:val="20"/>
        </w:rPr>
        <w:t>Chartered Accountants</w:t>
      </w:r>
    </w:p>
    <w:p>
      <w:pPr>
        <w:spacing w:before="80" w:after="80"/>
        <w:jc w:val="left"/>
      </w:pPr>
      <w:r>
        <w:rPr>
          <w:rFonts w:ascii="Arial" w:hAnsi="Arial"/>
          <w:b w:val="0"/>
          <w:i w:val="0"/>
          <w:sz w:val="20"/>
        </w:rPr>
        <w:t>Firm Registration No.: [XXXXXX]W</w:t>
      </w:r>
    </w:p>
    <w:p/>
    <w:p>
      <w:pPr>
        <w:spacing w:before="80" w:after="80"/>
        <w:jc w:val="left"/>
      </w:pPr>
      <w:r>
        <w:rPr>
          <w:rFonts w:ascii="Arial" w:hAnsi="Arial"/>
          <w:b w:val="0"/>
          <w:i w:val="0"/>
          <w:sz w:val="20"/>
        </w:rPr>
        <w:t>_______________________________</w:t>
      </w:r>
    </w:p>
    <w:p>
      <w:pPr>
        <w:spacing w:before="80" w:after="80"/>
        <w:jc w:val="left"/>
      </w:pPr>
      <w:r>
        <w:rPr>
          <w:rFonts w:ascii="Arial" w:hAnsi="Arial"/>
          <w:b w:val="0"/>
          <w:i w:val="0"/>
          <w:sz w:val="20"/>
        </w:rPr>
        <w:t>[Partner Name]</w:t>
      </w:r>
    </w:p>
    <w:p>
      <w:pPr>
        <w:spacing w:before="80" w:after="80"/>
        <w:jc w:val="left"/>
      </w:pPr>
      <w:r>
        <w:rPr>
          <w:rFonts w:ascii="Arial" w:hAnsi="Arial"/>
          <w:b w:val="0"/>
          <w:i w:val="0"/>
          <w:sz w:val="20"/>
        </w:rPr>
        <w:t>Partner — Membership No.: [XXXXXX]</w:t>
      </w:r>
    </w:p>
    <w:p>
      <w:pPr>
        <w:spacing w:before="80" w:after="80"/>
        <w:jc w:val="left"/>
      </w:pPr>
      <w:r>
        <w:rPr>
          <w:rFonts w:ascii="Arial" w:hAnsi="Arial"/>
          <w:b w:val="0"/>
          <w:i w:val="0"/>
          <w:sz w:val="20"/>
        </w:rPr>
        <w:t>UDIN: [XXXXXXXXXXXXXXXXXX]</w:t>
      </w:r>
    </w:p>
    <w:p>
      <w:pPr>
        <w:spacing w:before="80" w:after="80"/>
        <w:jc w:val="left"/>
      </w:pPr>
      <w:r>
        <w:rPr>
          <w:rFonts w:ascii="Arial" w:hAnsi="Arial"/>
          <w:b w:val="0"/>
          <w:i w:val="0"/>
          <w:sz w:val="20"/>
        </w:rPr>
        <w:t>Place: [City]</w:t>
      </w:r>
    </w:p>
    <w:p>
      <w:pPr>
        <w:spacing w:before="80" w:after="80"/>
        <w:jc w:val="left"/>
      </w:pPr>
      <w:r>
        <w:rPr>
          <w:rFonts w:ascii="Arial" w:hAnsi="Arial"/>
          <w:b w:val="0"/>
          <w:i w:val="0"/>
          <w:sz w:val="20"/>
        </w:rPr>
        <w:t>Date: [DD Month YYYY]</w:t>
      </w:r>
    </w:p>
    <w:sectPr w:rsidR="00FC693F" w:rsidRPr="0006063C" w:rsidSect="00034616">
      <w:headerReference w:type="default" r:id="rId9"/>
      <w:footerReference w:type="default" r:id="rId10"/>
      <w:pgSz w:w="16838" w:h="11906"/>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Kunstler Script" w:hAnsi="Kunstler Script"/>
              <w:b/>
              <w:sz w:val="22"/>
            </w:rPr>
            <w:t>Varma &amp; Varma</w:t>
          </w:r>
        </w:p>
      </w:tc>
      <w:tc>
        <w:tcPr>
          <w:tcW w:type="dxa" w:w="7285"/>
          <w:tcBorders>
            <w:top w:val="none"/>
            <w:left w:val="none"/>
            <w:bottom w:val="none"/>
            <w:right w:val="none"/>
          </w:tcBorders>
        </w:tcPr>
        <w:p>
          <w:pPr>
            <w:jc w:val="right"/>
          </w:pPr>
          <w:r>
            <w:rPr>
              <w:rFonts w:ascii="Arial" w:hAnsi="Arial"/>
              <w:b w:val="0"/>
              <w:i w:val="0"/>
              <w:sz w:val="16"/>
            </w:rPr>
            <w:fldChar w:fldCharType="begin"/>
            <w:instrText>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Arial" w:hAnsi="Arial"/>
              <w:b w:val="0"/>
              <w:i w:val="0"/>
              <w:sz w:val="16"/>
            </w:rPr>
            <w:t>[Client Name] | Varma &amp; Varma</w:t>
          </w:r>
        </w:p>
      </w:tc>
      <w:tc>
        <w:tcPr>
          <w:tcW w:type="dxa" w:w="7285"/>
          <w:tcBorders>
            <w:top w:val="none"/>
            <w:left w:val="none"/>
            <w:bottom w:val="none"/>
            <w:right w:val="none"/>
          </w:tcBorders>
        </w:tcPr>
        <w:p>
          <w:pPr>
            <w:jc w:val="right"/>
          </w:pPr>
          <w:r>
            <w:rPr>
              <w:rFonts w:ascii="Arial" w:hAnsi="Arial"/>
              <w:b w:val="0"/>
              <w:i w:val="0"/>
              <w:sz w:val="16"/>
            </w:rPr>
            <w:t>Form 3CD — Tax Audit — Banks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BE9EE53-EB22-4DD2-9928-BBF78C8D3CD6}"/>
</file>

<file path=customXml/itemProps3.xml><?xml version="1.0" encoding="utf-8"?>
<ds:datastoreItem xmlns:ds="http://schemas.openxmlformats.org/officeDocument/2006/customXml" ds:itemID="{E22BFB89-AF05-4D25-B596-3A1E8E77D85A}"/>
</file>

<file path=customXml/itemProps4.xml><?xml version="1.0" encoding="utf-8"?>
<ds:datastoreItem xmlns:ds="http://schemas.openxmlformats.org/officeDocument/2006/customXml" ds:itemID="{E96A150D-97F0-46E0-9BC6-35B55969D5E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