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Claims &amp; Policy Liabilities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IN.CLM.00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4 (Claims); Chapter 5 (Actuarial Matters)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Claims Paid — Sample Testing (Survey, Authorization, Settlement)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Claims paid are fictitious, inflated, or paid to wrong claimant; authorized signatories not involved in large settlements; TDS not deducted.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Sample 30 claims (stratified by value: 10 &gt; ₹10 lakh; 10 ₹1–10 lakh; 10 &lt; ₹1 lakh). For each: trace to survey report / death certificate; verify settlement amount matches survey recommendation or policy limit; verify payment to registered claimant bank account; check TDS deduction (Section 194DA for life maturity &gt; ₹1 lakh, Section 194D for general insurance). Reference: SA 330, Para 18–25;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3B (Solvency); IRDAI IRDA Act 1999 — Policyholders' Protection; Income Tax Act 1961 Section 194D/DA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T-01 Data Sense Pro (claims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Outstanding Claims Reserve — Case-by-Case Adequacy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Outstanding claims reserve understated; large claims reserved below surveyor estimates; claims intimated post-year-end not recognised as adjusting events.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Analytical)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outstanding claims register as at 31.03.[YYYY]. For top 20 claims by value: compare reserve to latest surveyor estimate / IRDAI survey report. Age outstanding claims — identify claims &gt; 12 months for adequacy review. Post-balance sheet events per SA 560 / AS 4: claims intimated between 1 April and report date that relate to events before 31 March. Reference: SA 560;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Schedule 13 (Claims Outstanding); Insurance Act 1938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4.20–4.30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(ageing of outstanding claims)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IBNR / IBNER Reserve — Actuarial Certificate Review (SA 620)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IBNR/IBNER reserve inadequate; actuarial assumptions not supported by run-off triangle data; auditor's reliance on actuary not documented per SA 620.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Expert Review (SA 620)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actuarial certificate for IBNR/IBNER. Apply SA 620: (a) assess Fellow actuary's competence (FIAI/IAI Fellow, IRDAI-empanelled); (b) review run-off triangle (Chain Ladder / Bornhuetter-Ferguson method); (c) test reasonableness: compare IBNR to OCR ratio vs prior year and peers; (d) verify IRDAI-prescribed minimum IBNR is met. Reference: SA 620, Para 8–12.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620, Para 8–12; SA 540,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Actuarial Practice Standard APS 7 (IBNR); Insurance Act 1938 Section 15 (Valuation)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5 Para 5.10–5.20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actuarial work-papers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Policyholder Liability — Actuarial Valuation Review (Life) (SA 620)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Mathematical reserves understated due to aggressive yield assumptions; embedded value inconsistent with reserve basis; bonus reserve inadequate for declared bonus.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Expert Review (SA 620)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Appointed Actuary's (AA) valuation report. SA 620 documentation: AA competence (Fellow of IAI), independence, appointment per IRDAI. Review key assumptions: (a) yield/discount rate — compare to IRDAI prescribed maximum; (b) mortality table (IALM 2006–08 or approved table); (c) lapse rates — consistent with WP-CLM-05 actual experience; (d) expense loading. Agree total mathematical reserves to balance sheet. Reference: SA 620, Para 8–12;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620, Para 8–12;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15; IRDAI (Actuarial Report) Regulations 2016; IRDAI APS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5 Para 5.1–5.9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AA valuation report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Surrender / Lapse Assumptions Review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Surrender value paid exceeds policy entitlement; lapse assumptions in actuarial model inconsistent with actual experience, biasing reserve computation.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Analytical)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Sample 20 surrendered policies during the year: verify surrender value = Special Surrender Value (SSV) or Guaranteed Surrender Value (GSV), whichever higher, per policy terms. Verify no negative surrender value. IRDAI compliance: lock-in period respected (2 years for non-ULIP). Compare assumed lapse rates in AA's model to actual FY lapse rates by product line. Differences &gt; 200 bps — require explanation from AA and reassessment of reserve impact. Reference: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540; SA 330, Para 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(Non-Linked Insurance Products) Order 2013; Insurance Act 1938 Section 113 (Surrender Value)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4.35–4.42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(lapse rate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CLM-006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Claim Repudiation &amp; Litigation Reserve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Repudiated claims not supported by valid policy exclusions; litigation reserve inadequate for pending court cases; IRDAI-mandated grievance TAT compliance not evidenced.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Legal Confirmation)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repudiation register (count and value). Sample 10 repudiations: verify repudiation letter cites specific policy exclusion clause; verify investigation report (IRDAI requires survey/investigation for all claims &gt; ₹1 lakh). Obtain litigation register: for each pending case &gt; ₹10 lakh, obtain legal opinion on likely outcome and quantify contingent liability. Verify IRDAI grievance TAT (30-day resolution for motor claims; 90-day for complex claims). Reference: SA 501;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501, Para 12; SA 560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(Protection of Policyholders' Interest) Regulations 2017; IRDAI Grievance Redressal Guidelines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4 Para 4.43–4.50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legal confirmation letters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WP-CLM-06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D5D901-B323-428B-8DC2-407C3F1CFBDF}"/>
</file>

<file path=customXml/itemProps3.xml><?xml version="1.0" encoding="utf-8"?>
<ds:datastoreItem xmlns:ds="http://schemas.openxmlformats.org/officeDocument/2006/customXml" ds:itemID="{A1E89567-BF15-49F7-A66C-190B26DCD608}"/>
</file>

<file path=customXml/itemProps4.xml><?xml version="1.0" encoding="utf-8"?>
<ds:datastoreItem xmlns:ds="http://schemas.openxmlformats.org/officeDocument/2006/customXml" ds:itemID="{6CE90881-C736-4284-9FB9-0CA7954613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