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Expenses of Management &amp; Commission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IN.EXP.00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8 (Expenses of Management); IRDAI (Expenses of Management) Regulations 2024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Management Expense Ratio — IRDAI (EOM) Regulations 2024 Limits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Total expenses of management as a % of GWP / APE exceed IRDAI (Expenses of Management) Regulations 2024 limits; excess expenses not disclosed or regulatory application not filed.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 + Compliance)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full P&amp;L — all expense line items for FY[YYYY]. Compute total management expenses (per IRDAI EOM Regs definition). Compute MER = Management Expenses / GWP (General) or APE (Life). Compare to IRDAI limit by business type and product category. For excess: verify management has filed an application for relaxation (if applicable) or EOM excess is accrued as a regulatory liability.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(Expenses of Management of Insurers transacting General or Life or Health Insurance Business) Regulations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 / Broker Commission — IRDAI Prescribed Limit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Agent or broker commission paid exceeds IRDAI-prescribed limit for the product category; GST on commission not accounted under reverse charge; Form 16A TDS not deducted.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agent-wise and broker-wise commission statement for FY[YYYY]. For a sample of 20 agents/brokers: compute commission % = commission paid / GWP sold. Compare to IRDAI product-wise commission limit (Schedule to EOM Regs). Verify GST @18% on commission (RCM for corporate agents). Verify TDS under Section 194D (5% for domestic non-life; TDS varies for life). Reference: SA 250;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(EOM) Regulations 2024 — Commission Schedule; Income Tax Act 1961 Section 194D; GST Act 2017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 Para 8.15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(commission rate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Schedule I — Return of Expenses of Management Filing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Schedule I (EOM return) not filed quarterly or contains errors versus audited financials; allocation of common expenses between LoB lines not on a reasonable basis.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quarterly Schedule I filings for FY[YYYY]. Agree Q4 return to audited P&amp;L expense figures. Verify mathematical accuracy of totals. Verify common expense allocation basis (generally premium-based or headcount-based) is disclosed and consistently applied.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(EOM) Regulations 2024 — Schedule I Filing; IRDAI FS Regs 2002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8 Para 8.20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WP-EXP-03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32849E-E8EB-456D-954B-4A8A9915A9B9}"/>
</file>

<file path=customXml/itemProps3.xml><?xml version="1.0" encoding="utf-8"?>
<ds:datastoreItem xmlns:ds="http://schemas.openxmlformats.org/officeDocument/2006/customXml" ds:itemID="{33AFDD2E-5BDD-4187-8E9C-1A00E53B86EB}"/>
</file>

<file path=customXml/itemProps4.xml><?xml version="1.0" encoding="utf-8"?>
<ds:datastoreItem xmlns:ds="http://schemas.openxmlformats.org/officeDocument/2006/customXml" ds:itemID="{6CBCCC8E-78F8-4BF9-90E7-92A7CBF20D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