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Investments (Life Fund, Shareholder Fund &amp; ULIPs)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IN.INV.00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7 (Investments); IRDAI (Assets, Funds and Investments) Regulations 2024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Investment Regulations — Approved / Unapproved Category Limit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portfolio does not comply with IRDAI (AFIF) Regulations 2024 category-wise limits; unapproved investments exceed 25% threshold; issuer concentration limit breached.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(Compliance + 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investment portfolio as at 31.03.[YYYY]. Classify each investment into IRDAI categories (Central Govt, State Govt / PSU, approved corporate bonds, equity, infrastructure, real estate, unapproved). Compute % for each category against total investible fund. Compare to prescribed limits by fund type (Life PAR, Life non-PAR, Life Linked, General). Flag breaches. Reference: SA 250;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(AFIF) Regulations 2024; IRDAI Investment Regulations 2016 (transitional)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(portfolio classification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Form 3A / 3B — Statement of Investment Assets Verification (Quarterly)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quarterly investment returns not filed or contain errors versus actual portfolio; unapproved investments unreported.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all 4 quarterly Form 3A (Life) / 3B (General) IRDAI portal submissions. For Q4 (March quarter): agree each investment line to the portfolio master as at 31.03.[YYYY]. Verify mathematical accuracy of totals. Confirm timely filing (within 15 days of quarter end).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(AFIF) Regulations 2024 — Form 3A / 3B Filing; IRDAI Circular (Quarterly Investment Returns)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IRDAI portal reconciliation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Fair Value Measurement — Equity, Bonds, Real Estate, Infrastructure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EXI, RO]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overvalued; equity at stale prices; bonds at historical cost instead of FIMMDA/FBIL yield; real estate at internal estimate without independent valuation.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 + Expert Evidence)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Equity: agree NSE/BSE closing price on 31 March to investment master. Bonds: revalue using FIMMDA/FBIL SG yield curve (IRDAI prescribed). Real estate: obtain registered valuer report (dated within 3 years per IRDAI). Infrastructure: IRDAI guidelines — mark to FIMMDA or on yield basis. Document Level 1/2/3 fair value hierarchy. Reference: SA 500;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540; SA 620 (for valuation experts)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113 / AS 13 (Fair Value); IRDAI FS Regs 2002 — valuation guidelines; IRDAI (AFIF) Regs 2024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7.20–7.30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(equity price reconciliation; yield recomputation)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ULIP Fund NAV Computation &amp; Unit Reconciliation (Life)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ACC,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ULIP NAV overstated due to incorrect fund asset valuation or unit count error; fund management charges not capped at IRDAI maximum; unit account does not reconcile.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each ULIP fund type (equity, balanced, debt, liquid): recompute NAV = (Market Value of Fund Assets - Fund Liabilities) / Units Outstanding. Agree to published NAV. Reconcile units: Opening units + New units issued - Units redeemed = Closing units. Verify fund management charges &lt;= IRDAI cap (1.35% for equity, 1.00% for debt, etc.). Reference: SA 540;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540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(Unit-Linked Insurance Products) Guidelines 2019; IRDAI Circular on FMC Caps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7.35–7.42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(NAV recomputation; unit reconciliation)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Certificate on Investment Risk Management Systems — Form 4 (IRDAI AFIF 2024)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Risk Management Systems (IRMS) do not meet IRDAI (AFIF) Regulations 2024 requirements; front/middle/back office segregation absent; limit breach reporting to board inadequate.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investment policy (board-approved) and IRMS documentation. Verify: (a) investment policy includes risk limits by category, issuer, duration; (b) front/middle/back office segregation evidenced; (c) breach monitoring system flags limit violations; (d) all breaches reported to IC and board within prescribed timelines. Review for Form 4 certificate preparation.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(AFIF) Regulations 2024 — Schedule 2 (Investment Policy); IRDAI Circular on IRMS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7.45–7.50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review; IC minutes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Committee Minutes &amp; Policy Review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OCC]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 decisions taken outside delegated authority; deviations from investment policy not ratified by board; related-party investments not disclosed.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Governance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Review all IC meeting minutes for FY[YYYY]. Verify quorum per IRDAI (CG) Regulations 2024 (at least 2 independent directors on IC). For key investment decisions: verify within delegated authority matrix. Identify any related-party investments; verify IRDAI approval/disclosure. Reference: SA 250; SA 550.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550, Para 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(CG for Insurers) Regulations 2024; IRDAI Investment Policy Board Resolution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7 Para 7.48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IC minutes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AF79EB-5B5C-40D4-82B1-2FBCC20B28A5}"/>
</file>

<file path=customXml/itemProps3.xml><?xml version="1.0" encoding="utf-8"?>
<ds:datastoreItem xmlns:ds="http://schemas.openxmlformats.org/officeDocument/2006/customXml" ds:itemID="{616F0E6B-7280-4303-BA39-15F0F639B516}"/>
</file>

<file path=customXml/itemProps4.xml><?xml version="1.0" encoding="utf-8"?>
<ds:datastoreItem xmlns:ds="http://schemas.openxmlformats.org/officeDocument/2006/customXml" ds:itemID="{A5D5AC3C-DC03-4707-B55D-948E0D355D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