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sz w:val="20"/>
        </w:rPr>
        <w:t>AUDIT PROGRAMME — Regulatory Compliance</w:t>
      </w:r>
    </w:p>
    <w:p>
      <w:pPr>
        <w:jc w:val="center"/>
      </w:pPr>
      <w:r>
        <w:rPr>
          <w:rFonts w:ascii="Arial" w:hAnsi="Arial"/>
          <w:b w:val="0"/>
          <w:i w:val="0"/>
          <w:sz w:val="18"/>
        </w:rPr>
        <w:t>IN.REG.00  |  Framework: AS / Ind AS (noted per procedure)  |  Governing: Insurance Act 1938; IRDAI (Preparation of Financial Statements &amp; Auditor's Report) Regulations 2002; IRDAI (Corporate Governance for Insurers) Regulations 2024; IRDAI (Assets, Funds and Investments) Regulations 2024; Companies Act 2013</w:t>
      </w:r>
    </w:p>
    <w:p>
      <w:pPr>
        <w:jc w:val="center"/>
      </w:pPr>
      <w:r>
        <w:rPr>
          <w:rFonts w:ascii="Arial" w:hAnsi="Arial"/>
          <w:b w:val="0"/>
          <w:i/>
          <w:sz w:val="18"/>
        </w:rPr>
        <w:t>ICAI Reference: ICAI Guidance Note on Audit of Insurance Companies (2023 Edition) — Chapter 9 (Regulatory Compliance); Chapter 2 (Legal &amp; Regulatory Framework)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68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Sr. No.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Audit Area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Assertions</w:t>
            </w:r>
          </w:p>
        </w:tc>
        <w:tc>
          <w:tcPr>
            <w:tcW w:type="dxa" w:w="1701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Description</w:t>
            </w:r>
          </w:p>
        </w:tc>
        <w:tc>
          <w:tcPr>
            <w:tcW w:type="dxa" w:w="124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Risk Level</w:t>
            </w:r>
          </w:p>
        </w:tc>
        <w:tc>
          <w:tcPr>
            <w:tcW w:type="dxa" w:w="102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Proc. Type</w:t>
            </w:r>
          </w:p>
        </w:tc>
        <w:tc>
          <w:tcPr>
            <w:tcW w:type="dxa" w:w="3288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Detailed Procedure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SA Reference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AS / Ind AS / Reg.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ICAI Template Ref</w:t>
            </w:r>
          </w:p>
        </w:tc>
        <w:tc>
          <w:tcPr>
            <w:tcW w:type="dxa" w:w="1417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Tool Reference</w:t>
            </w:r>
          </w:p>
        </w:tc>
        <w:tc>
          <w:tcPr>
            <w:tcW w:type="dxa" w:w="850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WP Ref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Done By / Date</w:t>
            </w:r>
          </w:p>
        </w:tc>
        <w:tc>
          <w:tcPr>
            <w:tcW w:type="dxa" w:w="1134"/>
            <w:shd w:val="clear" w:color="auto" w:fill="E8F5E9"/>
            <w:vAlign w:val="top"/>
          </w:tcPr>
          <w:p>
            <w:r>
              <w:rPr>
                <w:rFonts w:ascii="Arial" w:hAnsi="Arial"/>
                <w:b/>
                <w:i w:val="0"/>
                <w:sz w:val="18"/>
              </w:rPr>
              <w:t>Reviewed By / Date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REG-001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Solvency Margin Computation — ASM &gt;= 150% of RSM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[VAL, 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Available Solvency Margin (ASM) is incorrectly computed; deductions not applied; RSM computed on wrong GWP/claims base; solvency below 150% threshold not flagged.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solvency return filed with IRDAI. Recompute ASM = paid-up capital + free reserves + credit for reinsurance ceded (per IRDAI Solvency Regs). Recompute RSM: General = max(20% x GNPI, 30% x GNIC, ₹50 cr minimum); Life = max of Component A (0.03 x Mathematical Reserves x adjustment) + Component B (0.003 x Sum at Risk), ₹50 cr minimum. Verify ASM/RSM ratio &gt;= 1.50. Reference: SA 500;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(Assets, Liabilities, and Solvency Margin of General Insurers) Regulations 2016; IRDAI (Assets, Liabilities, Solvency Margin of Life Insurers) Regulations 2016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recomputation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WP-REG-01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REG-002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Policyholder Protection Fund (PPF) — Contribution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VAL, ACC]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PPF contribution not computed or incorrectly computed; funds not segregated or invested per IRDAI requirements.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(Recomputation)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PPF contribution computation for FY[YYYY]. Verify rate applied per IRDAI PPF Regulations: Life — 0.25% of GWP; General — 0.25% of net premium (verify rate if IRDAI revised). Verify contribution transferred to PPF account maintained with IRDAI. Reference: SA 250; SA 500.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500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(Policyholder Protection Fund) Regulations 2018; Insurance Act 1938 Section 38A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WP-REG-02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REG-003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Unclaimed Amounts — Transfer to SCWF / Senior Citizens Welfare Fund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Unclaimed policyholder amounts outstanding &gt; 10 years not identified or not transferred to SCWF by 1st March deadline.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+ Substantive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unclaimed amounts register. Identify amounts unpaid for &gt; 10 years (maturity proceeds, claims, premium refunds). Verify transfer to SCWF by 1st March [YYYY]. Verify IRDAI unclaimed amount portal updated. Verify balance sheet disclosure per IRDAI circular. Reference: SA 250; SA 560.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560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Circular on Unclaimed Amounts (2017 as amended); Senior Citizens Welfare Fund Rules; Insurance Act 1938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(ageing of unclaimed amounts)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WP-REG-03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Corporate Governance Checklist — IRDAI (CG for Insurers) Regulations 2024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Board composition, committee structure, or board policy approvals do not comply with IRDAI (CG for Insurers) Regulations 2024.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board composition (&gt;= 50% independent directors for listed; &gt;= 1/3 for others). Verify mandatory committees: Audit, Investment, Risk, Nomination &amp; Remuneration, Policyholder Protection. Verify board-approved policies: investment, reinsurance, outsourcing, ERM. Verify fit &amp; proper for directors per IRDAI norms. Reference: SA 250; SA 260.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260, Para 16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(Corporate Governance for Insurers) Regulations 2024; Insurance Act 1938 Section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board minutes review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WP-REG-04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KMP Appointment &amp; Form KMP-2 Annual Compliance Certificate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KMPs not approved by IRDAI or disqualified; Form KMP-2 annual compliance certificate not filed; vacant KMP positions not reported to IRDAI.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Compliance Checklist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IRDAI approval letters for CEO, CFO, Chief Risk Officer (CRO), Chief Compliance Officer (CCO), Company Secretary, and Appointed Actuary. Verify Form KMP-2 annual compliance certificates filed by each KMP. Check for KMP vacancies &gt; 90 days (IRDAI requires immediate reporting). Reference: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(CG for Insurers) Regulations 2024 — KMP Requirements; IRDAI (Appointed Actuary) Regulations 2017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9.28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IRDAI portal filings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WP-REG-05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REG-006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Segment Revenue Account Compliance — LoB-wise Schedule Format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ACC, CLS]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Segment revenue accounts not prepared on LoB basis per IRDAI FS Regs 2002; expense allocation to LoB lines not on a reasonable basis; totals do not reconcile to consolidated P&amp;L.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(Compliance + Reconciliation)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LoB-wise Revenue Accounts (Fire, Marine, Motor, Health, PA, Engineering, Liability, Others for General; Par, Non-Par, Linked for Life). Verify IRDAI FS Regs 2002 Schedule 1 format used. Cast all LoB revenue accounts; verify sum equals consolidated Revenue Account. Verify investment income allocated on proportionate fund basis. Reference: SA 500; SA 250.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500; 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FS Regs 2002 — Schedule 1 (Revenue Account by LoB); IRDAI Annual Report Format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9.30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 reconciliation; T-01 Data Sense Pro (LoB allocation check)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WP-REG-06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REG-007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Programme Board Approval Verification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Reinsurance programme for FY not board-approved before 1 April; actual placements deviate from board-approved programme; IRDAI prior approval not obtained for mandatory items.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Governance Review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Obtain board resolution approving reinsurance programme for FY[YYYY] (IRDAI requires board approval before beginning of financial year). Compare actual RI placements to programme. Verify GIC Re right of first refusal documented. Identify any material deviations — obtain board ratification. Reference: SA 250; SA 315.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14; SA 315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IRDAI Reinsurance Regulations 2018 — Board Approval Requirement; IRDAI (CG) Regs 2024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6 Para 6.5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Manual; RI programme vs actual comparison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WP-REG-07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  <w:tr>
        <w:tc>
          <w:tcPr>
            <w:tcW w:type="dxa" w:w="68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REG-008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/ AML Programme — PMLA 2002 Compliance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[COM, EXI]</w:t>
            </w:r>
          </w:p>
        </w:tc>
        <w:tc>
          <w:tcPr>
            <w:tcW w:type="dxa" w:w="1701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KYC not obtained for high-value policyholders; CTR/STR not filed within IRDAI/FIU timelines; BO declaration absent for corporate policyholders; UAML officer not appointed.</w:t>
            </w:r>
          </w:p>
        </w:tc>
        <w:tc>
          <w:tcPr>
            <w:tcW w:type="dxa" w:w="124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02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Substantive (ToD + Compliance Checklist)</w:t>
            </w:r>
          </w:p>
        </w:tc>
        <w:tc>
          <w:tcPr>
            <w:tcW w:type="dxa" w:w="3288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Verify KYC obtained for all new policyholders (single premium &gt; ₹50,000; regular premium &gt; ₹50,000/year). Sample 20 high-value policies — verify OVDs on file. CTR: premium &gt;= ₹10 lakh in cash — filed within 15 days. STR: suspicious transaction — filed within 7 days. UAML (Principal Officer) appointed and UAML manual updated. Reference: SA 250; ICAI GN on Audit of Insurance Companies.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 250, Para 14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PMLA 2002; IRDAI AML/CFT Guidelines 2006 (as amended); IRDAI KYC Guidelines 2020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ICAI GN Insurance Ch. 9 Para 9.35</w:t>
            </w:r>
          </w:p>
        </w:tc>
        <w:tc>
          <w:tcPr>
            <w:tcW w:type="dxa" w:w="1417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T-01 Data Sense Pro (CTR/STR filing check; high-value policy KYC flag)</w:t>
            </w:r>
          </w:p>
        </w:tc>
        <w:tc>
          <w:tcPr>
            <w:tcW w:type="dxa" w:w="850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WP-REG-08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  <w:tc>
          <w:tcPr>
            <w:tcW w:type="dxa" w:w="1134"/>
            <w:vAlign w:val="top"/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[Name]/[Date]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Kunstler Script" w:hAnsi="Kunstler Script"/>
              <w:b/>
              <w:sz w:val="22"/>
            </w:rPr>
            <w:t>Varma &amp; Varma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sz w:val="18"/>
            </w:rPr>
            <w:fldChar w:fldCharType="begin"/>
            <w:instrText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Arial" w:hAnsi="Arial"/>
              <w:b w:val="0"/>
              <w:i w:val="0"/>
              <w:sz w:val="18"/>
            </w:rPr>
            <w:t>[Client Name]</w:t>
          </w:r>
        </w:p>
      </w:tc>
      <w:tc>
        <w:tcPr>
          <w:tcW w:type="dxa" w:w="5102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Arial" w:hAnsi="Arial"/>
              <w:b w:val="0"/>
              <w:i w:val="0"/>
              <w:sz w:val="18"/>
            </w:rPr>
            <w:t>Statutory Audit for the year ended [DD.MM.YYYY]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E7910557F1DE4C91A691C09C7EA83D" ma:contentTypeVersion="4" ma:contentTypeDescription="Create a new document." ma:contentTypeScope="" ma:versionID="8b73a0bc7003658bab3f23da5945ddcb">
  <xsd:schema xmlns:xsd="http://www.w3.org/2001/XMLSchema" xmlns:xs="http://www.w3.org/2001/XMLSchema" xmlns:p="http://schemas.microsoft.com/office/2006/metadata/properties" xmlns:ns2="03f3f4d6-3d69-4648-a89a-6f8e492ac738" targetNamespace="http://schemas.microsoft.com/office/2006/metadata/properties" ma:root="true" ma:fieldsID="b054d4809f6fdc5a8fe18ec980977459" ns2:_="">
    <xsd:import namespace="03f3f4d6-3d69-4648-a89a-6f8e492ac7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3f4d6-3d69-4648-a89a-6f8e492ac7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6044FA-87A0-47E2-A2F9-2D65A35C4542}"/>
</file>

<file path=customXml/itemProps3.xml><?xml version="1.0" encoding="utf-8"?>
<ds:datastoreItem xmlns:ds="http://schemas.openxmlformats.org/officeDocument/2006/customXml" ds:itemID="{83EBB73C-E80F-46D6-9F32-48378999E1A4}"/>
</file>

<file path=customXml/itemProps4.xml><?xml version="1.0" encoding="utf-8"?>
<ds:datastoreItem xmlns:ds="http://schemas.openxmlformats.org/officeDocument/2006/customXml" ds:itemID="{5530E77B-1C92-4874-A617-E64B0A3AAF0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0x01010005E7910557F1DE4C91A691C09C7EA83D</vt:lpwstr>
  </property>
</Properties>
</file>