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0"/>
        </w:rPr>
        <w:t>AUDIT PROGRAMME — Claims &amp; Policy Liabilities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IN.CLM.00  |  Framework: AS / Ind AS (noted per procedure)  |  Governing: Insurance Act 1938; IRDAI (Preparation of Financial Statements &amp; Auditor's Report) Regulations 2002; IRDAI (Corporate Governance for Insurers) Regulations 2024; IRDAI (Assets, Funds and Investments) Regulations 2024; Companies Act 2013</w:t>
      </w:r>
    </w:p>
    <w:p>
      <w:pPr>
        <w:jc w:val="center"/>
      </w:pPr>
      <w:r>
        <w:rPr>
          <w:rFonts w:ascii="Arial" w:hAnsi="Arial"/>
          <w:b w:val="0"/>
          <w:i/>
          <w:sz w:val="18"/>
        </w:rPr>
        <w:t>ICAI Reference: ICAI Guidance Note on Audit of Insurance Companies (2023 Edition) — Chapter 4 (Claims); Chapter 5 (Actuarial Matters)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68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Sr. No.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Audit Area</w:t>
            </w:r>
          </w:p>
        </w:tc>
        <w:tc>
          <w:tcPr>
            <w:tcW w:type="dxa" w:w="102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Assertions</w:t>
            </w:r>
          </w:p>
        </w:tc>
        <w:tc>
          <w:tcPr>
            <w:tcW w:type="dxa" w:w="1701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Description</w:t>
            </w:r>
          </w:p>
        </w:tc>
        <w:tc>
          <w:tcPr>
            <w:tcW w:type="dxa" w:w="124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Level</w:t>
            </w:r>
          </w:p>
        </w:tc>
        <w:tc>
          <w:tcPr>
            <w:tcW w:type="dxa" w:w="102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Proc. Type</w:t>
            </w:r>
          </w:p>
        </w:tc>
        <w:tc>
          <w:tcPr>
            <w:tcW w:type="dxa" w:w="3288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Detailed Procedure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SA Reference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 / Ind AS / Reg. Ref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ICAI Template Ref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Tool Reference</w:t>
            </w:r>
          </w:p>
        </w:tc>
        <w:tc>
          <w:tcPr>
            <w:tcW w:type="dxa" w:w="85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WP Ref</w:t>
            </w:r>
          </w:p>
        </w:tc>
        <w:tc>
          <w:tcPr>
            <w:tcW w:type="dxa" w:w="1134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Done By / Date</w:t>
            </w:r>
          </w:p>
        </w:tc>
        <w:tc>
          <w:tcPr>
            <w:tcW w:type="dxa" w:w="1134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Reviewed By / Date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CLM-001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Claims Paid — Sample Testing (Survey, Authorization, Settlement)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[OCC, VAL,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Claims paid are fictitious, inflated, or paid to wrong claimant; authorized signatories not involved in large settlements; TDS not deducted.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Sample 30 claims (stratified by value: 10 &gt; ₹10 lakh; 10 ₹1–10 lakh; 10 &lt; ₹1 lakh). For each: trace to survey report / death certificate; verify settlement amount matches survey recommendation or policy limit; verify payment to registered claimant bank account; check TDS deduction (Section 194DA for life maturity &gt; ₹1 lakh, Section 194D for general insurance). Reference: SA 330, Para 18–25; SA 500.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330, Para 18–25; SA 500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Insurance Act 1938 Section 3B (Solvency); IRDAI IRDA Act 1999 — Policyholders' Protection; Income Tax Act 1961 Section 194D/DA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Manual; T-01 Data Sense Pro (claims analytics)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WP-CLM-01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CLM-002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Outstanding Claims Reserve — Case-by-Case Adequacy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Outstanding claims reserve understated; large claims reserved below surveyor estimates; claims intimated post-year-end not recognised as adjusting events.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Analytical)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outstanding claims register as at 31.03.[YYYY]. For top 20 claims by value: compare reserve to latest surveyor estimate / IRDAI survey report. Age outstanding claims — identify claims &gt; 12 months for adequacy review. Post-balance sheet events per SA 560 / AS 4: claims intimated between 1 April and report date that relate to events before 31 March. Reference: SA 560; SA 540.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8; SA 560, Para 10–12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FS Regs 2002 — Schedule 13 (Claims Outstanding); Insurance Act 1938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4 Para 4.20–4.30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(ageing of outstanding claims)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WP-CLM-02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CLM-003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IBNR / IBNER Reserve — Actuarial Certificate Review (SA 620)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COM,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IBNR/IBNER reserve inadequate; actuarial assumptions not supported by run-off triangle data; auditor's reliance on actuary not documented per SA 620.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Expert Review (SA 620)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actuarial certificate for IBNR/IBNER. Apply SA 620: (a) assess Fellow actuary's competence (FIAI/IAI Fellow, IRDAI-empanelled); (b) review run-off triangle (Chain Ladder / Bornhuetter-Ferguson method); (c) test reasonableness: compare IBNR to OCR ratio vs prior year and peers; (d) verify IRDAI-prescribed minimum IBNR is met. Reference: SA 620, Para 8–12.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620, Para 8–12; SA 540,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Actuarial Practice Standard APS 7 (IBNR); Insurance Act 1938 Section 15 (Valuation)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5 Para 5.10–5.20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Manual; actuarial work-papers review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WP-CLM-03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CLM-004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Policyholder Liability — Actuarial Valuation Review (Life) (SA 620)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COM,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Mathematical reserves understated due to aggressive yield assumptions; embedded value inconsistent with reserve basis; bonus reserve inadequate for declared bonus.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Expert Review (SA 620)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Appointed Actuary's (AA) valuation report. SA 620 documentation: AA competence (Fellow of IAI), independence, appointment per IRDAI. Review key assumptions: (a) yield/discount rate — compare to IRDAI prescribed maximum; (b) mortality table (IALM 2006–08 or approved table); (c) lapse rates — consistent with WP-CLM-05 actual experience; (d) expense loading. Agree total mathematical reserves to balance sheet. Reference: SA 620, Para 8–12; SA 540.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620, Para 8–12; SA 540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Insurance Act 1938 Section 15; IRDAI (Actuarial Report) Regulations 2016; IRDAI APS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5 Para 5.1–5.9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Manual; AA valuation report review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WP-CLM-04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CLM-005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Surrender / Lapse Assumptions Review (Life)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[OCC, VAL,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Surrender value paid exceeds policy entitlement; lapse assumptions in actuarial model inconsistent with actual experience, biasing reserve computation.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Analytical)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Sample 20 surrendered policies during the year: verify surrender value = Special Surrender Value (SSV) or Guaranteed Surrender Value (GSV), whichever higher, per policy terms. Verify no negative surrender value. IRDAI compliance: lock-in period respected (2 years for non-ULIP). Compare assumed lapse rates in AA's model to actual FY lapse rates by product line. Differences &gt; 200 bps — require explanation from AA and reassessment of reserve impact. Reference: SA 540.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540; SA 330, Para 18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(Non-Linked Insurance Products) Order 2013; Insurance Act 1938 Section 113 (Surrender Value)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4 Para 4.35–4.42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(lapse rate analytics)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WP-CLM-05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CLM-006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Claim Repudiation &amp; Litigation Reserve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VAL, COM]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Repudiated claims not supported by valid policy exclusions; litigation reserve inadequate for pending court cases; IRDAI-mandated grievance TAT compliance not evidenced.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Legal Confirmation)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repudiation register (count and value). Sample 10 repudiations: verify repudiation letter cites specific policy exclusion clause; verify investigation report (IRDAI requires survey/investigation for all claims &gt; ₹1 lakh). Obtain litigation register: for each pending case &gt; ₹10 lakh, obtain legal opinion on likely outcome and quantify contingent liability. Verify IRDAI grievance TAT (30-day resolution for motor claims; 90-day for complex claims). Reference: SA 501; SA 560.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501, Para 12; SA 560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(Protection of Policyholders' Interest) Regulations 2017; IRDAI Grievance Redressal Guidelines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4 Para 4.43–4.50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Manual; legal confirmation letters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WP-CLM-06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Kunstler Script" w:hAnsi="Kunstler Script"/>
              <w:b/>
              <w:sz w:val="22"/>
            </w:rPr>
            <w:t>Varma &amp; Varma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sz w:val="18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hAnsi="Arial"/>
              <w:b w:val="0"/>
              <w:i w:val="0"/>
              <w:sz w:val="18"/>
            </w:rPr>
            <w:t>[Client Name]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sz w:val="18"/>
            </w:rPr>
            <w:t>Statutory Audit for the year ended [DD.MM.YYYY]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7910557F1DE4C91A691C09C7EA83D" ma:contentTypeVersion="4" ma:contentTypeDescription="Create a new document." ma:contentTypeScope="" ma:versionID="8b73a0bc7003658bab3f23da5945ddcb">
  <xsd:schema xmlns:xsd="http://www.w3.org/2001/XMLSchema" xmlns:xs="http://www.w3.org/2001/XMLSchema" xmlns:p="http://schemas.microsoft.com/office/2006/metadata/properties" xmlns:ns2="03f3f4d6-3d69-4648-a89a-6f8e492ac738" targetNamespace="http://schemas.microsoft.com/office/2006/metadata/properties" ma:root="true" ma:fieldsID="b054d4809f6fdc5a8fe18ec980977459" ns2:_="">
    <xsd:import namespace="03f3f4d6-3d69-4648-a89a-6f8e492ac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f4d6-3d69-4648-a89a-6f8e492ac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E1009B-F3D4-4BD8-846A-F705E82E960F}"/>
</file>

<file path=customXml/itemProps3.xml><?xml version="1.0" encoding="utf-8"?>
<ds:datastoreItem xmlns:ds="http://schemas.openxmlformats.org/officeDocument/2006/customXml" ds:itemID="{77DE3874-AB7D-4EEA-B9CC-F2100B341E2B}"/>
</file>

<file path=customXml/itemProps4.xml><?xml version="1.0" encoding="utf-8"?>
<ds:datastoreItem xmlns:ds="http://schemas.openxmlformats.org/officeDocument/2006/customXml" ds:itemID="{B304B955-9E5D-4F19-9EB5-C52D409204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0x01010005E7910557F1DE4C91A691C09C7EA83D</vt:lpwstr>
  </property>
</Properties>
</file>