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Expenses of Management &amp; Commission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IN.EXP.00  |  Framework: AS / Ind AS (noted per procedure)  |  Governing: Insurance Act 1938; IRDAI (Preparation of Financial Statements &amp; Auditor's Report) Regulations 2002; IRDAI (Corporate Governance for Insurers) Regulations 2024; IRDAI (Assets, Funds and Investments) Regulations 2024; Companies Act 2013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Guidance Note on Audit of Insurance Companies (2023 Edition) — Chapter 8 (Expenses of Management); IRDAI (Expenses of Management) Regulations 2024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Management Expense Ratio — IRDAI (EOM) Regulations 2024 Limits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ACC, OCC]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Total expenses of management as a % of GWP / APE exceed IRDAI (Expenses of Management) Regulations 2024 limits; excess expenses not disclosed or regulatory application not filed.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(Recomputation + Compliance)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full P&amp;L — all expense line items for FY[YYYY]. Compute total management expenses (per IRDAI EOM Regs definition). Compute MER = Management Expenses / GWP (General) or APE (Life). Compare to IRDAI limit by business type and product category. For excess: verify management has filed an application for relaxation (if applicable) or EOM excess is accrued as a regulatory liability. Reference: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500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(Expenses of Management of Insurers transacting General or Life or Health Insurance Business) Regulations 2024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recomputation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WP-EXP-01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Agent / Broker Commission — IRDAI Prescribed Limit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OCC, VAL,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Agent or broker commission paid exceeds IRDAI-prescribed limit for the product category; GST on commission not accounted under reverse charge; Form 16A TDS not deducted.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agent-wise and broker-wise commission statement for FY[YYYY]. For a sample of 20 agents/brokers: compute commission % = commission paid / GWP sold. Compare to IRDAI product-wise commission limit (Schedule to EOM Regs). Verify GST @18% on commission (RCM for corporate agents). Verify TDS under Section 194D (5% for domestic non-life; TDS varies for life). Reference: SA 250; SA 330.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330, Para 18–25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(EOM) Regulations 2024 — Commission Schedule; Income Tax Act 1961 Section 194D; GST Act 2017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8 Para 8.15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(commission rate analytics)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WP-EXP-02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Schedule I — Return of Expenses of Management Filing Compliance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Schedule I (EOM return) not filed quarterly or contains errors versus audited financials; allocation of common expenses between LoB lines not on a reasonable basis.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Compliance Checklist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quarterly Schedule I filings for FY[YYYY]. Agree Q4 return to audited P&amp;L expense figures. Verify mathematical accuracy of totals. Verify common expense allocation basis (generally premium-based or headcount-based) is disclosed and consistently applied. Reference: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500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(EOM) Regulations 2024 — Schedule I Filing; IRDAI FS Regs 2002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8 Para 8.20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WP-EXP-03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79BEF5-C53B-4AE5-9BAD-7B74DE5AE6B6}"/>
</file>

<file path=customXml/itemProps3.xml><?xml version="1.0" encoding="utf-8"?>
<ds:datastoreItem xmlns:ds="http://schemas.openxmlformats.org/officeDocument/2006/customXml" ds:itemID="{8FE5DDC6-E660-42D9-B50D-2D08F756CEC0}"/>
</file>

<file path=customXml/itemProps4.xml><?xml version="1.0" encoding="utf-8"?>
<ds:datastoreItem xmlns:ds="http://schemas.openxmlformats.org/officeDocument/2006/customXml" ds:itemID="{7DDF27D3-29B5-4CBE-8CB8-5427E1BF2E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