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(Life Fund, Shareholder Fund &amp; ULIPs)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IN.INV.00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7 (Investments); IRDAI (Assets, Funds and Investments) Regulations 2024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Investment Regulations — Approved / Unapproved Category Limit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portfolio does not comply with IRDAI (AFIF) Regulations 2024 category-wise limits; unapproved investments exceed 25% threshold; issuer concentration limit breached.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(Compliance + 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portfolio as at 31.03.[YYYY]. Classify each investment into IRDAI categories (Central Govt, State Govt / PSU, approved corporate bonds, equity, infrastructure, real estate, unapproved). Compute % for each category against total investible fund. Compare to prescribed limits by fund type (Life PAR, Life non-PAR, Life Linked, General). Flag breaches.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2024; IRDAI Investment Regulations 2016 (transitional)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(portfolio classification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Form 3A / 3B — Statement of Investment Assets Verification (Quarterly)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quarterly investment returns not filed or contain errors versus actual portfolio; unapproved investments unreported.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all 4 quarterly Form 3A (Life) / 3B (General) IRDAI portal submissions. For Q4 (March quarter): agree each investment line to the portfolio master as at 31.03.[YYYY]. Verify mathematical accuracy of totals. Confirm timely filing (within 15 days of quarter end).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 — Form 3A / 3B Filing; IRDAI Circular (Quarterly Investment Returns)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IRDAI portal reconciliation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Fair Value Measurement — Equity, Bonds, Real Estate, Infrastructure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EXI, RO]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overvalued; equity at stale prices; bonds at historical cost instead of FIMMDA/FBIL yield; real estate at internal estimate without independent valuation.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 + Expert Evidence)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Equity: agree NSE/BSE closing price on 31 March to investment master. Bonds: revalue using FIMMDA/FBIL SG yield curve (IRDAI prescribed). Real estate: obtain registered valuer report (dated within 3 years per IRDAI). Infrastructure: IRDAI guidelines — mark to FIMMDA or on yield basis. Document Level 1/2/3 fair value hierarchy. Reference: SA 500;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540; SA 620 (for valuation experts)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113 / AS 13 (Fair Value); IRDAI FS Regs 2002 — valuation guidelines; IRDAI (AFIF) Regs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7.20–7.30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(equity price reconciliation; yield recomputation)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ULIP Fund NAV Computation &amp; Unit Reconciliation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ULIP NAV overstated due to incorrect fund asset valuation or unit count error; fund management charges not capped at IRDAI maximum; unit account does not reconcile.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ULIP fund type (equity, balanced, debt, liquid): recompute NAV = (Market Value of Fund Assets - Fund Liabilities) / Units Outstanding. Agree to published NAV. Reconcile units: Opening units + New units issued - Units redeemed = Closing units. Verify fund management charges &lt;= IRDAI cap (1.35% for equity, 1.00% for debt, etc.). Reference: SA 540;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(Unit-Linked Insurance Products) Guidelines 2019; IRDAI Circular on FMC Caps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7.35–7.42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(NAV recomputation; unit reconciliation)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Certificate on Investment Risk Management Systems — Form 4 (IRDAI AFIF 2024)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Risk Management Systems (IRMS) do not meet IRDAI (AFIF) Regulations 2024 requirements; front/middle/back office segregation absent; limit breach reporting to board inadequate.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policy (board-approved) and IRMS documentation. Verify: (a) investment policy includes risk limits by category, issuer, duration; (b) front/middle/back office segregation evidenced; (c) breach monitoring system flags limit violations; (d) all breaches reported to IC and board within prescribed timelines. Review for Form 4 certificate preparation.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 — Schedule 2 (Investment Policy); IRDAI Circular on IRMS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7.45–7.50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review; IC minutes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Committee Minutes &amp; Policy Review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decisions taken outside delegated authority; deviations from investment policy not ratified by board; related-party investments not disclosed.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Governance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Review all IC meeting minutes for FY[YYYY]. Verify quorum per IRDAI (CG) Regulations 2024 (at least 2 independent directors on IC). For key investment decisions: verify within delegated authority matrix. Identify any related-party investments; verify IRDAI approval/disclosure. Reference: SA 250; SA 550.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550, Para 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(CG for Insurers) Regulations 2024; IRDAI Investment Policy Board Resolution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7.48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IC minutes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02320-3FC1-4DCB-B80C-6CAF6FDD1D0B}"/>
</file>

<file path=customXml/itemProps3.xml><?xml version="1.0" encoding="utf-8"?>
<ds:datastoreItem xmlns:ds="http://schemas.openxmlformats.org/officeDocument/2006/customXml" ds:itemID="{00BFFECE-CC47-42DD-8D64-202AB8923C80}"/>
</file>

<file path=customXml/itemProps4.xml><?xml version="1.0" encoding="utf-8"?>
<ds:datastoreItem xmlns:ds="http://schemas.openxmlformats.org/officeDocument/2006/customXml" ds:itemID="{F77F5EDC-4F71-4991-83EA-A6433AD913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