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20"/>
        </w:rPr>
        <w:t>AUDIT PROGRAMME — Premium Income &amp; Underwriting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IN.PREM.00  |  Framework: AS / Ind AS (noted per procedure)  |  Governing: Insurance Act 1938; IRDAI (Preparation of Financial Statements &amp; Auditor's Report) Regulations 2002; IRDAI (Corporate Governance for Insurers) Regulations 2024; IRDAI (Assets, Funds and Investments) Regulations 2024; Companies Act 2013</w:t>
      </w:r>
    </w:p>
    <w:p>
      <w:pPr>
        <w:jc w:val="center"/>
      </w:pPr>
      <w:r>
        <w:rPr>
          <w:rFonts w:ascii="Arial" w:hAnsi="Arial"/>
          <w:b w:val="0"/>
          <w:i/>
          <w:sz w:val="18"/>
        </w:rPr>
        <w:t>ICAI Reference: ICAI Guidance Note on Audit of Insurance Companies (2023 Edition) — Chapter 3 (Premium Income); Chapter 6 (Reinsurance)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68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Sr. No.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Audit Area</w:t>
            </w:r>
          </w:p>
        </w:tc>
        <w:tc>
          <w:tcPr>
            <w:tcW w:type="dxa" w:w="102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Assertions</w:t>
            </w:r>
          </w:p>
        </w:tc>
        <w:tc>
          <w:tcPr>
            <w:tcW w:type="dxa" w:w="1701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Description</w:t>
            </w:r>
          </w:p>
        </w:tc>
        <w:tc>
          <w:tcPr>
            <w:tcW w:type="dxa" w:w="124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Level</w:t>
            </w:r>
          </w:p>
        </w:tc>
        <w:tc>
          <w:tcPr>
            <w:tcW w:type="dxa" w:w="102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Proc. Type</w:t>
            </w:r>
          </w:p>
        </w:tc>
        <w:tc>
          <w:tcPr>
            <w:tcW w:type="dxa" w:w="3288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Detailed Procedure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SA Reference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 / Ind AS / Reg. Ref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ICAI Template Ref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Tool Reference</w:t>
            </w:r>
          </w:p>
        </w:tc>
        <w:tc>
          <w:tcPr>
            <w:tcW w:type="dxa" w:w="85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WP Ref</w:t>
            </w:r>
          </w:p>
        </w:tc>
        <w:tc>
          <w:tcPr>
            <w:tcW w:type="dxa" w:w="1134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Done By / Date</w:t>
            </w:r>
          </w:p>
        </w:tc>
        <w:tc>
          <w:tcPr>
            <w:tcW w:type="dxa" w:w="1134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Reviewed By / Date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PREM-001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FYP / Renewal Premium — Policy Register to GL Reconciliation (Life)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[OCC, COM, ACC, CUT]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Premium income recorded in the Revenue Account does not reconcile to the policy administration system (PAS); FYP or renewal premiums recognised on lapsed/surrendered policies.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 + CAATs)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FYP and renewal premium register from PAS as at 31.03.[YYYY]. Cast totals; agree to respective GL income accounts. CAATs: duplicate policy number check (same PAN, same inception date). Lapse cross-check — identify premiums recorded post-lapse date. Cut-off: verify ECS/NACH settlements on 31 March are in current year. Expected outcome: Nil reconciling items; no post-lapse income. Reference: SA 500; SA 560.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500; SA 560, Para 10–12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Insurance Act 1938 Section 16; IRDAI FS Regs 2002 — Sch. 1 (Life Revenue Account)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3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T-01 Data Sense Pro (duplicate / lapse cross-check)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WP-PREM-01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PREM-002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Gross Written Premium (GWP) — Policy Register to GL Reconciliation (General)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[OCC, COM, ACC, CUT]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GWP per policy issuance system does not agree to GL; mid-term cancellation credits or endorsement adjustments not recorded; cut-off misstatement around 31 March.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 + CAATs)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monthly GWP register from policy issuance system (motor, fire, health, marine, PA, engineering, liability). Cast LoB-wise totals; agree to GL. Obtain mid-term cancellation and endorsement register; verify net GWP. Cut-off: sample 20 policies issued in last 5 days of March — verify policy inception vs recording date. Reference: SA 500; SA 560.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500; SA 560, Para 10–12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FS Regs 2002 — Sch. 1 (General Revenue Account); Insurance Act 1938 Section 16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3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T-01 Data Sense Pro (cancellation/endorsement analytics)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WP-PREM-02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PREM-003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Unearned Premium Reserve (UPR) — 1/365 Basis Computation &amp; Verification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[VAL, COM, ACC]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UPR understated due to incorrect days remaining in computation; marine voyage or long-term policies not treated on correct basis; reinsurers' share of UPR not computed consistently.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(Recomputation)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policy data extract (inception date, expiry date, GWP). Recompute UPR per policy = (Days Remaining at 31 March / Policy Term Days) x GWP. Agree aggregate recomputed UPR to balance sheet. For reinsurers' share: apply same ratio to ceded premium. Special: marine voyage — 100% until voyage complete; long-term motor — annualised. Expected outcome: Difference &lt; ₹50,000. Reference: SA 540.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540, Para 8; SA 500, Para 7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FS Regs 2002 — Sch. 2 (UPR Provision); IRDAI Actuarial Circular (2023)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3 Para 3.15–3.20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T-01 Data Sense Pro (UPR recomputation on full policy extract)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WP-PREM-03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PREM-004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Reinsurance Ceded — Treaty &amp; Facultative Arrangement Review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[OCC, VAL, COM, CUT]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Ceded premium not computed in accordance with treaty terms; facultative placements not authorised; overseas reinsurer not on IRDAI approved list; cut-off on reinsurance bordereau.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 + ToC)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board-approved reinsurance programme. For proportional treaty (quota share / surplus): verify cession % per treaty slip; recompute ceded premium for 3 sample LoB lines. For non-proportional (XL): verify premium rate and basis. Verify GIC Re first-offer compliance (IRDAI Reinsurance Regs 2018). For overseas reinsurers: confirm credit rating &gt;= BBB-/Baa3 from approved agency. Reference: SA 250; SA 330.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14; SA 330, Para 18–25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(General Insurance — Reinsurance) Regulations 2016; IRDAI Reinsurance Regulations 2018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6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procedure; T-03 Corporate Intelligence (counterparty rating check)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WP-PREM-04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PREM-005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Reinsurance Recoveries — Recoverability &amp; Counterparty Assessment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[EXI, VAL, RO]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Reinsurance recoverable overstated; counterparty reinsurer has deteriorated credit quality; gross vs net presentation error per IRDAI requirement.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 + Confirmation)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reinsurance recoverable schedule (by counterparty). Agree to claims ceded register. Verify IRDAI requires gross presentation — confirm no netting in balance sheet. For top 5 counterparties (by outstanding balance): obtain settlement statements / debit notes; assess overdue balances &gt; 90 days; verify current credit ratings. Obtain direct reinsurer confirmation for balances &gt; ₹1 crore. Reference: SA 505.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505, Para 8–12; SA 540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FS Regs 2002 — Sch. 8 (Advances &amp; Other Assets); Ind AS 109 / AS 30 — Credit impairment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6 Para 6.25–6.30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/ T-03 Corporate Intelligence (reinsurer rating)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WP-PREM-05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PREM-006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Premium Deficiency Reserve (PDR) — General Insurance Adequacy Assessment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[VAL, COM]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 PDR recognised despite expected claims + expenses exceeding UPR for a LoB; PDR understated due to optimistic loss ratio assumption.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(Analytical + Expert Review)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For each LoB, compute expected combined ratio = (expected claims + expected expenses) / GEP. Where &gt; 100%, verify PDR = (Expected Claims + Expenses - UPR) is recognised as an additional reserve. Obtain actuarial opinion (or management's loss ratio estimate) supporting PDR computation. Compare LoB-wise loss ratios to prior 3 years and industry data. Reference: SA 540; SA 620.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540, Para 8; SA 620, Para 8–12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Circular on PDR (Jun 2013); Ind AS 104 / AS 28 (Impairment); ICAI Actuarial Practice Standard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3 Para 3.22–3.28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analytical procedure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WP-PREM-06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/>
      <w:pgMar w:top="1134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Kunstler Script" w:hAnsi="Kunstler Script"/>
              <w:b/>
              <w:sz w:val="22"/>
            </w:rPr>
            <w:t>Varma &amp; Varma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sz w:val="18"/>
            </w:rPr>
            <w:fldChar w:fldCharType="begin"/>
            <w:instrText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Arial" w:hAnsi="Arial"/>
              <w:b w:val="0"/>
              <w:i w:val="0"/>
              <w:sz w:val="18"/>
            </w:rPr>
            <w:t>[Client Name]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b w:val="0"/>
              <w:i w:val="0"/>
              <w:sz w:val="18"/>
            </w:rPr>
            <w:t>Statutory Audit for the year ended [DD.MM.YYYY]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E7910557F1DE4C91A691C09C7EA83D" ma:contentTypeVersion="4" ma:contentTypeDescription="Create a new document." ma:contentTypeScope="" ma:versionID="8b73a0bc7003658bab3f23da5945ddcb">
  <xsd:schema xmlns:xsd="http://www.w3.org/2001/XMLSchema" xmlns:xs="http://www.w3.org/2001/XMLSchema" xmlns:p="http://schemas.microsoft.com/office/2006/metadata/properties" xmlns:ns2="03f3f4d6-3d69-4648-a89a-6f8e492ac738" targetNamespace="http://schemas.microsoft.com/office/2006/metadata/properties" ma:root="true" ma:fieldsID="b054d4809f6fdc5a8fe18ec980977459" ns2:_="">
    <xsd:import namespace="03f3f4d6-3d69-4648-a89a-6f8e492ac7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3f4d6-3d69-4648-a89a-6f8e492ac7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1C1B8DB-37D1-42ED-A8F7-B89268F324E3}"/>
</file>

<file path=customXml/itemProps3.xml><?xml version="1.0" encoding="utf-8"?>
<ds:datastoreItem xmlns:ds="http://schemas.openxmlformats.org/officeDocument/2006/customXml" ds:itemID="{16B4D555-360E-4522-9C4A-0652D7C4E78C}"/>
</file>

<file path=customXml/itemProps4.xml><?xml version="1.0" encoding="utf-8"?>
<ds:datastoreItem xmlns:ds="http://schemas.openxmlformats.org/officeDocument/2006/customXml" ds:itemID="{DB7DE850-ABF0-4F9D-BB5A-1E51ABA7F76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0x01010005E7910557F1DE4C91A691C09C7EA83D</vt:lpwstr>
  </property>
</Properties>
</file>