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6"/>
        </w:rPr>
        <w:t>INDEPENDENT AUDITOR'S REPORT</w:t>
      </w:r>
    </w:p>
    <w:p>
      <w:pPr>
        <w:spacing w:before="80" w:after="80"/>
        <w:jc w:val="left"/>
      </w:pPr>
      <w:r>
        <w:rPr>
          <w:rFonts w:ascii="Arial" w:hAnsi="Arial"/>
          <w:b/>
          <w:i w:val="0"/>
          <w:sz w:val="22"/>
        </w:rPr>
        <w:t>To the Members of [Name of the Insurance Company]</w:t>
      </w:r>
    </w:p>
    <w:p>
      <w:pPr>
        <w:spacing w:before="40" w:after="40"/>
        <w:pBdr>
          <w:bottom w:val="single" w:sz="6" w:space="1" w:color="1F4E79"/>
        </w:pBdr>
      </w:pPr>
    </w:p>
    <w:p/>
    <w:p>
      <w:pPr>
        <w:spacing w:before="160" w:after="80"/>
      </w:pPr>
      <w:r>
        <w:rPr>
          <w:rFonts w:ascii="Arial" w:hAnsi="Arial"/>
          <w:b/>
          <w:i w:val="0"/>
          <w:sz w:val="24"/>
        </w:rPr>
        <w:t>REPORT ON THE AUDIT OF THE FINANCIAL STATEMENTS</w:t>
      </w:r>
    </w:p>
    <w:p>
      <w:pPr>
        <w:spacing w:before="160" w:after="80"/>
      </w:pPr>
      <w:r>
        <w:rPr>
          <w:rFonts w:ascii="Arial" w:hAnsi="Arial"/>
          <w:b/>
          <w:i w:val="0"/>
          <w:sz w:val="22"/>
        </w:rPr>
        <w:t>Opinion</w:t>
      </w:r>
    </w:p>
    <w:p>
      <w:pPr>
        <w:spacing w:before="80" w:after="80"/>
        <w:jc w:val="left"/>
      </w:pPr>
      <w:r>
        <w:rPr>
          <w:rFonts w:ascii="Arial" w:hAnsi="Arial"/>
          <w:b w:val="0"/>
          <w:i w:val="0"/>
          <w:sz w:val="20"/>
        </w:rPr>
        <w:t>We have audited the accompanying financial statements of [Name of the Insurance Company] ('the Company'), which comprise the Revenue Accounts (Policyholders' Account) for each line of business, the Profit and Loss Account (Shareholders' Account), and the Balance Sheet as at 31st March 20XX, together with the Schedules and Notes forming part of the financial statements and the Receipts and Payments Account for the year then ended.</w:t>
      </w:r>
    </w:p>
    <w:p>
      <w:pPr>
        <w:spacing w:before="80" w:after="80"/>
        <w:jc w:val="left"/>
      </w:pPr>
      <w:r>
        <w:rPr>
          <w:rFonts w:ascii="Arial" w:hAnsi="Arial"/>
          <w:b w:val="0"/>
          <w:i w:val="0"/>
          <w:sz w:val="20"/>
        </w:rPr>
        <w:t>In our opinion and to the best of our information and according to the explanations given to us, the aforesaid financial statements give the information required by the Insurance Act, 1938 ('the Insurance Act'), the Insurance Regulatory and Development Authority of India (Preparation of Financial Statements and Auditor's Report of Insurance Companies) Regulations, 2002 ('the FS Regulations'), and the Companies Act, 2013 ('the Act') in the manner so required and give a true and fair view in conformity with the accounting principles generally accepted in India:</w:t>
      </w:r>
    </w:p>
    <w:p>
      <w:pPr>
        <w:spacing w:before="80" w:after="80"/>
        <w:jc w:val="left"/>
      </w:pPr>
      <w:r>
        <w:rPr>
          <w:rFonts w:ascii="Arial" w:hAnsi="Arial"/>
          <w:b w:val="0"/>
          <w:i w:val="0"/>
          <w:sz w:val="20"/>
        </w:rPr>
        <w:t>i.   In the case of the Revenue Accounts, of the surplus / deficit for the year ended 31st March 20XX;</w:t>
      </w:r>
    </w:p>
    <w:p>
      <w:pPr>
        <w:spacing w:before="80" w:after="80"/>
        <w:jc w:val="left"/>
      </w:pPr>
      <w:r>
        <w:rPr>
          <w:rFonts w:ascii="Arial" w:hAnsi="Arial"/>
          <w:b w:val="0"/>
          <w:i w:val="0"/>
          <w:sz w:val="20"/>
        </w:rPr>
        <w:t>ii.  In the case of the Profit and Loss Account, of the profit / loss of the Company for the year ended on that date;</w:t>
      </w:r>
    </w:p>
    <w:p>
      <w:pPr>
        <w:spacing w:before="80" w:after="80"/>
        <w:jc w:val="left"/>
      </w:pPr>
      <w:r>
        <w:rPr>
          <w:rFonts w:ascii="Arial" w:hAnsi="Arial"/>
          <w:b w:val="0"/>
          <w:i w:val="0"/>
          <w:sz w:val="20"/>
        </w:rPr>
        <w:t>iii. In the case of the Balance Sheet, of the state of affairs of the Company as at 31st March 20XX; and</w:t>
      </w:r>
    </w:p>
    <w:p>
      <w:pPr>
        <w:spacing w:before="80" w:after="80"/>
        <w:jc w:val="left"/>
      </w:pPr>
      <w:r>
        <w:rPr>
          <w:rFonts w:ascii="Arial" w:hAnsi="Arial"/>
          <w:b w:val="0"/>
          <w:i w:val="0"/>
          <w:sz w:val="20"/>
        </w:rPr>
        <w:t>iv.  In the case of the Receipts and Payments Account, of the receipts and payments of the Company for the year ended on that date.</w:t>
      </w:r>
    </w:p>
    <w:p>
      <w:pPr>
        <w:spacing w:before="160" w:after="80"/>
      </w:pPr>
      <w:r>
        <w:rPr>
          <w:rFonts w:ascii="Arial" w:hAnsi="Arial"/>
          <w:b/>
          <w:i w:val="0"/>
          <w:sz w:val="22"/>
        </w:rPr>
        <w:t>Basis for Opinion</w:t>
      </w:r>
    </w:p>
    <w:p>
      <w:pPr>
        <w:spacing w:before="80" w:after="80"/>
        <w:jc w:val="left"/>
      </w:pPr>
      <w:r>
        <w:rPr>
          <w:rFonts w:ascii="Arial" w:hAnsi="Arial"/>
          <w:b w:val="0"/>
          <w:i w:val="0"/>
          <w:sz w:val="20"/>
        </w:rPr>
        <w:t>We conducted our audit in accordance with the Standards on Auditing (SAs) specified under Section 143(10) of the Act. We are independent of the Company in accordance with the Code of Ethics issued by the ICAI together with the ethical requirements relevant to our audit under the provisions of the Act and the FS Regulations. We believe that the audit evidence we have obtained is sufficient and appropriate to provide a basis for our opinion.</w:t>
      </w:r>
    </w:p>
    <w:p>
      <w:pPr>
        <w:spacing w:before="80" w:after="80"/>
        <w:jc w:val="left"/>
      </w:pPr>
      <w:r>
        <w:rPr>
          <w:rFonts w:ascii="Arial" w:hAnsi="Arial"/>
          <w:b w:val="0"/>
          <w:i w:val="0"/>
          <w:sz w:val="20"/>
        </w:rPr>
        <w:t>We have placed reliance on the actuarial valuation performed by the Appointed Actuary of the Company in accordance with SA 620 — Using the Work of an Auditor's Expert. The Appointed Actuary's certificate and valuation report have been reviewed by us and we are satisfied with the competence, capabilities, and objectivity of the Appointed Actuary. Our reliance on actuarial work is documented separately in our working papers (IN.RPT.03).</w:t>
      </w:r>
    </w:p>
    <w:p>
      <w:pPr>
        <w:spacing w:before="160" w:after="80"/>
      </w:pPr>
      <w:r>
        <w:rPr>
          <w:rFonts w:ascii="Arial" w:hAnsi="Arial"/>
          <w:b/>
          <w:i w:val="0"/>
          <w:sz w:val="22"/>
        </w:rPr>
        <w:t>Emphasis of Matter</w:t>
      </w:r>
    </w:p>
    <w:p>
      <w:pPr>
        <w:spacing w:before="80" w:after="80"/>
        <w:jc w:val="left"/>
      </w:pPr>
      <w:r>
        <w:rPr>
          <w:rFonts w:ascii="Arial" w:hAnsi="Arial"/>
          <w:b w:val="0"/>
          <w:i w:val="0"/>
          <w:sz w:val="20"/>
        </w:rPr>
        <w:t>[Include if applicable:] Without qualifying our opinion, we draw attention to Note [XX] to the financial statements, which describes [the nature of the matter requiring emphasis — e.g., significant uncertainty in IBNR estimation, COVID-19 related claims development, change in actuarial basis, etc.]. Our opinion is not modified in respect of this matter.</w:t>
      </w:r>
    </w:p>
    <w:p>
      <w:pPr>
        <w:spacing w:before="160" w:after="80"/>
      </w:pPr>
      <w:r>
        <w:rPr>
          <w:rFonts w:ascii="Arial" w:hAnsi="Arial"/>
          <w:b/>
          <w:i w:val="0"/>
          <w:sz w:val="22"/>
        </w:rPr>
        <w:t>Key Audit Matters</w:t>
      </w:r>
    </w:p>
    <w:tbl>
      <w:tblPr>
        <w:tblStyle w:val="TableGrid"/>
        <w:tblW w:type="auto" w:w="0"/>
        <w:tblLook w:firstColumn="1" w:firstRow="1" w:lastColumn="0" w:lastRow="0" w:noHBand="0" w:noVBand="1" w:val="04A0"/>
      </w:tblPr>
      <w:tblGrid>
        <w:gridCol w:w="7285"/>
        <w:gridCol w:w="7285"/>
      </w:tblGrid>
      <w:tr>
        <w:tc>
          <w:tcPr>
            <w:tcW w:type="dxa" w:w="5102"/>
            <w:vAlign w:val="top"/>
            <w:shd w:val="clear" w:color="auto" w:fill="1F4E79"/>
          </w:tcPr>
          <w:p>
            <w:pPr>
              <w:jc w:val="center"/>
            </w:pPr>
            <w:r>
              <w:rPr>
                <w:rFonts w:ascii="Arial" w:hAnsi="Arial"/>
                <w:b/>
                <w:i w:val="0"/>
                <w:color w:val="FFFFFF"/>
                <w:sz w:val="18"/>
              </w:rPr>
              <w:t>Key Audit Matter</w:t>
            </w:r>
          </w:p>
        </w:tc>
        <w:tc>
          <w:tcPr>
            <w:tcW w:type="dxa" w:w="6236"/>
            <w:vAlign w:val="top"/>
            <w:shd w:val="clear" w:color="auto" w:fill="1F4E79"/>
          </w:tcPr>
          <w:p>
            <w:pPr>
              <w:jc w:val="center"/>
            </w:pPr>
            <w:r>
              <w:rPr>
                <w:rFonts w:ascii="Arial" w:hAnsi="Arial"/>
                <w:b/>
                <w:i w:val="0"/>
                <w:color w:val="FFFFFF"/>
                <w:sz w:val="18"/>
              </w:rPr>
              <w:t>How Our Audit Addressed the Matter</w:t>
            </w:r>
          </w:p>
        </w:tc>
      </w:tr>
      <w:tr>
        <w:tc>
          <w:tcPr>
            <w:tcW w:type="dxa" w:w="5102"/>
            <w:vAlign w:val="top"/>
          </w:tcPr>
          <w:p>
            <w:pPr>
              <w:jc w:val="left"/>
            </w:pPr>
            <w:r>
              <w:rPr>
                <w:rFonts w:ascii="Arial" w:hAnsi="Arial"/>
                <w:b w:val="0"/>
                <w:i w:val="0"/>
                <w:sz w:val="18"/>
              </w:rPr>
              <w:t>1. Adequacy of Claims Provisions — IBNR / IBNER</w:t>
              <w:br/>
              <w:br/>
              <w:t>The Company carries an Incurred But Not Reported (IBNR) and Incurred But Not Enough Reserved (IBNER) provision of ₹[XX] crore as at 31st March 20XX (General Insurance) / actuarial reserve as certified by the Appointed Actuary (Life Insurance). The estimation involves inherent uncertainty, particularly for long-tail lines (motor third party, health, liability). This is a key audit matter due to the magnitude and estimation uncertainty involved.</w:t>
            </w:r>
          </w:p>
        </w:tc>
        <w:tc>
          <w:tcPr>
            <w:tcW w:type="dxa" w:w="6236"/>
            <w:vAlign w:val="top"/>
          </w:tcPr>
          <w:p>
            <w:pPr>
              <w:jc w:val="left"/>
            </w:pPr>
            <w:r>
              <w:rPr>
                <w:rFonts w:ascii="Arial" w:hAnsi="Arial"/>
                <w:b w:val="0"/>
                <w:i w:val="0"/>
                <w:sz w:val="18"/>
              </w:rPr>
              <w:t>We applied SA 620 procedures to evaluate the work of the Appointed Actuary:</w:t>
              <w:br/>
              <w:t>• Assessed the qualifications and competence of the Appointed Actuary.</w:t>
              <w:br/>
              <w:t>• Reviewed the actuarial report and the valuation methodology (Chain Ladder, Bornhuetter-Ferguson).</w:t>
              <w:br/>
              <w:t>• Compared the IBNR estimates with the prior year and industry benchmarks.</w:t>
              <w:br/>
              <w:t>• Reviewed the actual vs. expected claims development for selected lines of business.</w:t>
              <w:br/>
              <w:t>• Considered the adequacy of the provision in the context of the Company's claims history and industry loss trends.</w:t>
              <w:br/>
              <w:t>• Reviewed the Appointed Actuary's certificate filed with IRDAI.</w:t>
            </w:r>
          </w:p>
        </w:tc>
      </w:tr>
      <w:tr>
        <w:tc>
          <w:tcPr>
            <w:tcW w:type="dxa" w:w="5102"/>
            <w:vAlign w:val="top"/>
            <w:shd w:val="clear" w:color="auto" w:fill="EBF3FB"/>
          </w:tcPr>
          <w:p>
            <w:pPr>
              <w:jc w:val="left"/>
            </w:pPr>
            <w:r>
              <w:rPr>
                <w:rFonts w:ascii="Arial" w:hAnsi="Arial"/>
                <w:b w:val="0"/>
                <w:i w:val="0"/>
                <w:sz w:val="18"/>
              </w:rPr>
              <w:t>2. Premium Revenue Recognition and Reinsurance</w:t>
              <w:br/>
              <w:br/>
              <w:t>Gross Written Premium (GWP) for the year is ₹[XX] crore. Premiums are recognised on attachment of risk. Reinsurance ceded premium (₹[XX] crore) involves treaty and facultative arrangements and the computation of Unearned Premium Reserve (UPR) using the 1/365 method (General) / actuarial basis (Life).</w:t>
            </w:r>
          </w:p>
        </w:tc>
        <w:tc>
          <w:tcPr>
            <w:tcW w:type="dxa" w:w="6236"/>
            <w:vAlign w:val="top"/>
            <w:shd w:val="clear" w:color="auto" w:fill="EBF3FB"/>
          </w:tcPr>
          <w:p>
            <w:pPr>
              <w:jc w:val="left"/>
            </w:pPr>
            <w:r>
              <w:rPr>
                <w:rFonts w:ascii="Arial" w:hAnsi="Arial"/>
                <w:b w:val="0"/>
                <w:i w:val="0"/>
                <w:sz w:val="18"/>
              </w:rPr>
              <w:t>We tested a sample of [XX] premium bordereaux / policy schedules for correct period and inception date, verifying risk attachment and endorsement adjustments. We recomputed UPR for sampled items using the 1/365 method. We reviewed reinsurance treaty confirmations and reconciled bordereaux to the reinsurer's accounts. We traced premium income to schedule F1 and agreed to individual policy records.</w:t>
            </w:r>
          </w:p>
        </w:tc>
      </w:tr>
      <w:tr>
        <w:tc>
          <w:tcPr>
            <w:tcW w:type="dxa" w:w="5102"/>
            <w:vAlign w:val="top"/>
          </w:tcPr>
          <w:p>
            <w:pPr>
              <w:jc w:val="left"/>
            </w:pPr>
            <w:r>
              <w:rPr>
                <w:rFonts w:ascii="Arial" w:hAnsi="Arial"/>
                <w:b w:val="0"/>
                <w:i w:val="0"/>
                <w:sz w:val="18"/>
              </w:rPr>
              <w:t>3. Valuation of Investment Portfolio (IRDAI AFIF 2024)</w:t>
              <w:br/>
              <w:br/>
              <w:t>The investment portfolio of ₹[XX] crore (including policyholder funds of ₹[XX] crore and shareholder funds of ₹[XX] crore) is subject to IRDAI investment norms (IRDAI Assets, Funds and Investments Regulations, 2024). Valuation uses FIMMDA/FBIL rates. ULIP unit reserves require daily NAV computation.</w:t>
            </w:r>
          </w:p>
        </w:tc>
        <w:tc>
          <w:tcPr>
            <w:tcW w:type="dxa" w:w="6236"/>
            <w:vAlign w:val="top"/>
          </w:tcPr>
          <w:p>
            <w:pPr>
              <w:jc w:val="left"/>
            </w:pPr>
            <w:r>
              <w:rPr>
                <w:rFonts w:ascii="Arial" w:hAnsi="Arial"/>
                <w:b w:val="0"/>
                <w:i w:val="0"/>
                <w:sz w:val="18"/>
              </w:rPr>
              <w:t>We verified investment category compliance against IRDAI AFIF 2024 limits for PAR/non-PAR/Linked/Pension funds. We independently re-priced a sample of fixed income securities using FIMMDA prices. We traced ULIP NAV computations to unit balances and verified NAV against published daily NAVs. We reviewed Form 3A/3B returns and IRMS Form 4 submissions.</w:t>
            </w:r>
          </w:p>
        </w:tc>
      </w:tr>
      <w:tr>
        <w:tc>
          <w:tcPr>
            <w:tcW w:type="dxa" w:w="5102"/>
            <w:vAlign w:val="top"/>
            <w:shd w:val="clear" w:color="auto" w:fill="EBF3FB"/>
          </w:tcPr>
          <w:p>
            <w:pPr>
              <w:jc w:val="left"/>
            </w:pPr>
            <w:r>
              <w:rPr>
                <w:rFonts w:ascii="Arial" w:hAnsi="Arial"/>
                <w:b w:val="0"/>
                <w:i w:val="0"/>
                <w:sz w:val="18"/>
              </w:rPr>
              <w:t>4. Solvency Margin — Section 64VA</w:t>
              <w:br/>
              <w:br/>
              <w:t>The Company is required to maintain assets in excess of liabilities (Available Solvency Margin — ASM) at 150% of the Required Solvency Margin (RSM). The solvency computation is complex and involves actuarial inputs.</w:t>
            </w:r>
          </w:p>
        </w:tc>
        <w:tc>
          <w:tcPr>
            <w:tcW w:type="dxa" w:w="6236"/>
            <w:vAlign w:val="top"/>
            <w:shd w:val="clear" w:color="auto" w:fill="EBF3FB"/>
          </w:tcPr>
          <w:p>
            <w:pPr>
              <w:jc w:val="left"/>
            </w:pPr>
            <w:r>
              <w:rPr>
                <w:rFonts w:ascii="Arial" w:hAnsi="Arial"/>
                <w:b w:val="0"/>
                <w:i w:val="0"/>
                <w:sz w:val="18"/>
              </w:rPr>
              <w:t>We reviewed the solvency computation prepared by the Appointed Actuary and management. We agreed the ASM to the audited balance sheet values. We tested the RSM computation for the major lines of business. We obtained and reviewed the Appointed Actuary's certificate on solvency. A separate solvency certificate (IN.RPT.04) is issued by us.</w:t>
            </w:r>
          </w:p>
        </w:tc>
      </w:tr>
    </w:tbl>
    <w:p/>
    <w:p>
      <w:pPr>
        <w:spacing w:before="160" w:after="80"/>
      </w:pPr>
      <w:r>
        <w:rPr>
          <w:rFonts w:ascii="Arial" w:hAnsi="Arial"/>
          <w:b/>
          <w:i w:val="0"/>
          <w:sz w:val="22"/>
        </w:rPr>
        <w:t>Other Information</w:t>
      </w:r>
    </w:p>
    <w:p>
      <w:pPr>
        <w:spacing w:before="80" w:after="80"/>
        <w:jc w:val="left"/>
      </w:pPr>
      <w:r>
        <w:rPr>
          <w:rFonts w:ascii="Arial" w:hAnsi="Arial"/>
          <w:b w:val="0"/>
          <w:i w:val="0"/>
          <w:sz w:val="20"/>
        </w:rPr>
        <w:t>The Board of Directors is responsible for the other information in the Annual Report. Our opinion on the financial statements does not cover the other information and we do not express any assurance thereon. In connection with our audit, our responsibility is to read the other information and, in doing so, consider whether the other information is materially inconsistent with the financial statements or our knowledge obtained in the audit.</w:t>
      </w:r>
    </w:p>
    <w:p>
      <w:pPr>
        <w:spacing w:before="160" w:after="80"/>
      </w:pPr>
      <w:r>
        <w:rPr>
          <w:rFonts w:ascii="Arial" w:hAnsi="Arial"/>
          <w:b/>
          <w:i w:val="0"/>
          <w:sz w:val="22"/>
        </w:rPr>
        <w:t>Responsibilities of Management and Board</w:t>
      </w:r>
    </w:p>
    <w:p>
      <w:pPr>
        <w:spacing w:before="80" w:after="80"/>
        <w:jc w:val="left"/>
      </w:pPr>
      <w:r>
        <w:rPr>
          <w:rFonts w:ascii="Arial" w:hAnsi="Arial"/>
          <w:b w:val="0"/>
          <w:i w:val="0"/>
          <w:sz w:val="20"/>
        </w:rPr>
        <w:t>The Board of Directors is responsible for the preparation of financial statements that give a true and fair view, in accordance with the Insurance Act, 1938, the FS Regulations, and the Companies Act, 2013. The Appointed Actuary is responsible for the actuarial valuations. Management is responsible for the design, implementation, and maintenance of adequate internal financial controls.</w:t>
      </w:r>
    </w:p>
    <w:p>
      <w:pPr>
        <w:spacing w:before="160" w:after="80"/>
      </w:pPr>
      <w:r>
        <w:rPr>
          <w:rFonts w:ascii="Arial" w:hAnsi="Arial"/>
          <w:b/>
          <w:i w:val="0"/>
          <w:sz w:val="22"/>
        </w:rPr>
        <w:t>Auditor's Responsibilities</w:t>
      </w:r>
    </w:p>
    <w:p>
      <w:pPr>
        <w:spacing w:before="80" w:after="80"/>
        <w:jc w:val="left"/>
      </w:pPr>
      <w:r>
        <w:rPr>
          <w:rFonts w:ascii="Arial" w:hAnsi="Arial"/>
          <w:b w:val="0"/>
          <w:i w:val="0"/>
          <w:sz w:val="20"/>
        </w:rPr>
        <w:t>Our objectives are to obtain reasonable assurance about whether the financial statements as a whole are free from material misstatement, whether due to fraud or error. We have performed procedures required by SA 240 (fraud risks), SA 550 (related parties), SA 560 (subsequent events), and SA 570 (going concern). We have also evaluated whether the actuarial assumptions used by the Appointed Actuary are reasonable in the context of SA 620.</w:t>
      </w:r>
    </w:p>
    <w:p>
      <w:pPr>
        <w:spacing w:before="160" w:after="80"/>
      </w:pPr>
      <w:r>
        <w:rPr>
          <w:rFonts w:ascii="Arial" w:hAnsi="Arial"/>
          <w:b/>
          <w:i w:val="0"/>
          <w:sz w:val="24"/>
        </w:rPr>
        <w:t>Report on Other Legal and Regulatory Requirements</w:t>
      </w:r>
    </w:p>
    <w:p>
      <w:pPr>
        <w:spacing w:before="160" w:after="80"/>
      </w:pPr>
      <w:r>
        <w:rPr>
          <w:rFonts w:ascii="Arial" w:hAnsi="Arial"/>
          <w:b/>
          <w:i w:val="0"/>
          <w:sz w:val="22"/>
        </w:rPr>
        <w:t>I. As required by Section 12 of the Insurance Act, 1938:</w:t>
      </w:r>
    </w:p>
    <w:p>
      <w:pPr>
        <w:spacing w:before="80" w:after="80"/>
        <w:jc w:val="left"/>
      </w:pPr>
      <w:r>
        <w:rPr>
          <w:rFonts w:ascii="Arial" w:hAnsi="Arial"/>
          <w:b w:val="0"/>
          <w:i w:val="0"/>
          <w:sz w:val="20"/>
        </w:rPr>
        <w:t>We report that: (a) we have obtained all the information and explanations which to the best of our knowledge and belief were necessary for the purpose of our audit and have found them to be satisfactory; (b) in our opinion, the accounting policies adopted are consistent with those of the preceding year; (c) the Revenue Accounts, Profit and Loss Account, and Balance Sheet are in agreement with the books of account and returns; (d) the financial statements are drawn up in accordance with the provisions of the Insurance Act, 1938, the FS Regulations, and the Companies Act, 2013; (e) the investments have been valued in accordance with the provisions of the Insurance Act, 1938 and the IRDAI (Assets, Funds and Investments) Regulations, 2024.</w:t>
      </w:r>
    </w:p>
    <w:p>
      <w:pPr>
        <w:spacing w:before="160" w:after="80"/>
      </w:pPr>
      <w:r>
        <w:rPr>
          <w:rFonts w:ascii="Arial" w:hAnsi="Arial"/>
          <w:b/>
          <w:i w:val="0"/>
          <w:sz w:val="22"/>
        </w:rPr>
        <w:t>II. As required by Section 143(3) of the Companies Act, 2013:</w:t>
      </w:r>
    </w:p>
    <w:p>
      <w:pPr>
        <w:spacing w:before="80" w:after="80"/>
        <w:jc w:val="left"/>
      </w:pPr>
      <w:r>
        <w:rPr>
          <w:rFonts w:ascii="Arial" w:hAnsi="Arial"/>
          <w:b w:val="0"/>
          <w:i w:val="0"/>
          <w:sz w:val="20"/>
        </w:rPr>
        <w:t>a) We have obtained all information and explanations necessary for the audit;</w:t>
      </w:r>
    </w:p>
    <w:p>
      <w:pPr>
        <w:spacing w:before="80" w:after="80"/>
        <w:jc w:val="left"/>
      </w:pPr>
      <w:r>
        <w:rPr>
          <w:rFonts w:ascii="Arial" w:hAnsi="Arial"/>
          <w:b w:val="0"/>
          <w:i w:val="0"/>
          <w:sz w:val="20"/>
        </w:rPr>
        <w:t>b) In our opinion, proper books of account have been kept;</w:t>
      </w:r>
    </w:p>
    <w:p>
      <w:pPr>
        <w:spacing w:before="80" w:after="80"/>
        <w:jc w:val="left"/>
      </w:pPr>
      <w:r>
        <w:rPr>
          <w:rFonts w:ascii="Arial" w:hAnsi="Arial"/>
          <w:b w:val="0"/>
          <w:i w:val="0"/>
          <w:sz w:val="20"/>
        </w:rPr>
        <w:t>c) The financial statements are in agreement with the books of account;</w:t>
      </w:r>
    </w:p>
    <w:p>
      <w:pPr>
        <w:spacing w:before="80" w:after="80"/>
        <w:jc w:val="left"/>
      </w:pPr>
      <w:r>
        <w:rPr>
          <w:rFonts w:ascii="Arial" w:hAnsi="Arial"/>
          <w:b w:val="0"/>
          <w:i w:val="0"/>
          <w:sz w:val="20"/>
        </w:rPr>
        <w:t>d) The financial statements comply with the Accounting Standards under Section 133 of the Act;</w:t>
      </w:r>
    </w:p>
    <w:p>
      <w:pPr>
        <w:spacing w:before="80" w:after="80"/>
        <w:jc w:val="left"/>
      </w:pPr>
      <w:r>
        <w:rPr>
          <w:rFonts w:ascii="Arial" w:hAnsi="Arial"/>
          <w:b w:val="0"/>
          <w:i w:val="0"/>
          <w:sz w:val="20"/>
        </w:rPr>
        <w:t>e) None of the directors is disqualified under Section 164(2) of the Act as at 31st March 20XX;</w:t>
      </w:r>
    </w:p>
    <w:p>
      <w:pPr>
        <w:spacing w:before="80" w:after="80"/>
        <w:jc w:val="left"/>
      </w:pPr>
      <w:r>
        <w:rPr>
          <w:rFonts w:ascii="Arial" w:hAnsi="Arial"/>
          <w:b w:val="0"/>
          <w:i w:val="0"/>
          <w:sz w:val="20"/>
        </w:rPr>
        <w:t>f) With respect to internal financial controls — refer Annexure A;</w:t>
      </w:r>
    </w:p>
    <w:p>
      <w:pPr>
        <w:spacing w:before="80" w:after="80"/>
        <w:jc w:val="left"/>
      </w:pPr>
      <w:r>
        <w:rPr>
          <w:rFonts w:ascii="Arial" w:hAnsi="Arial"/>
          <w:b w:val="0"/>
          <w:i w:val="0"/>
          <w:sz w:val="20"/>
        </w:rPr>
        <w:t>g) Rule 11 matters — (i) Pending litigation disclosed in Note [XX]; (ii) No material foreseeable losses on long-term contracts; (iii) No delays in IEPF transfers.</w:t>
      </w:r>
    </w:p>
    <w:p>
      <w:pPr>
        <w:spacing w:before="160" w:after="80"/>
      </w:pPr>
      <w:r>
        <w:rPr>
          <w:rFonts w:ascii="Arial" w:hAnsi="Arial"/>
          <w:b/>
          <w:i w:val="0"/>
          <w:sz w:val="22"/>
        </w:rPr>
        <w:t>ANNEXURE A — Internal Financial Controls</w:t>
      </w:r>
    </w:p>
    <w:p>
      <w:pPr>
        <w:spacing w:before="80" w:after="80"/>
        <w:jc w:val="left"/>
      </w:pPr>
      <w:r>
        <w:rPr>
          <w:rFonts w:ascii="Arial" w:hAnsi="Arial"/>
          <w:b w:val="0"/>
          <w:i w:val="0"/>
          <w:sz w:val="20"/>
        </w:rPr>
        <w:t>In our opinion, the Company has, in all material respects, adequate internal financial controls over financial reporting and such controls were operating effectively as at 31st March 20XX, based on the criteria established by the Company considering the essential components of internal control as stated in the ICAI Guidance Note on Audit of Internal Financial Controls over Financial Reporting.</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Independent Auditor's Report — Insurance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6514CFE-5416-435A-B2D4-AA11EEBDFB3A}"/>
</file>

<file path=customXml/itemProps3.xml><?xml version="1.0" encoding="utf-8"?>
<ds:datastoreItem xmlns:ds="http://schemas.openxmlformats.org/officeDocument/2006/customXml" ds:itemID="{D63C90E9-004F-4DFA-B5B3-91CBD5DD31DB}"/>
</file>

<file path=customXml/itemProps4.xml><?xml version="1.0" encoding="utf-8"?>
<ds:datastoreItem xmlns:ds="http://schemas.openxmlformats.org/officeDocument/2006/customXml" ds:itemID="{8B6E6CED-6E88-4799-87A9-9EAA2E361D4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