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Arial" w:hAnsi="Arial"/>
          <w:b/>
          <w:i w:val="0"/>
          <w:sz w:val="24"/>
        </w:rPr>
        <w:t>DOCUMENTATION OF RELIANCE ON WORK OF ACTUARIAL EXPERT</w:t>
      </w:r>
    </w:p>
    <w:p>
      <w:pPr>
        <w:spacing w:before="80" w:after="80"/>
        <w:jc w:val="center"/>
      </w:pPr>
      <w:r>
        <w:rPr>
          <w:rFonts w:ascii="Arial" w:hAnsi="Arial"/>
          <w:b w:val="0"/>
          <w:i/>
          <w:sz w:val="20"/>
        </w:rPr>
        <w:t>SA 620 — Using the Work of an Auditor's Expert</w:t>
      </w:r>
    </w:p>
    <w:p>
      <w:pPr>
        <w:spacing w:before="40" w:after="40"/>
        <w:pBdr>
          <w:bottom w:val="single" w:sz="6" w:space="1" w:color="1F4E79"/>
        </w:pBdr>
      </w:pPr>
    </w:p>
    <w:p/>
    <w:tbl>
      <w:tblPr>
        <w:tblStyle w:val="TableGrid"/>
        <w:tblW w:type="auto" w:w="0"/>
        <w:tblLook w:firstColumn="1" w:firstRow="1" w:lastColumn="0" w:lastRow="0" w:noHBand="0" w:noVBand="1" w:val="04A0"/>
      </w:tblPr>
      <w:tblGrid>
        <w:gridCol w:w="7285"/>
        <w:gridCol w:w="7285"/>
      </w:tblGrid>
      <w:tr>
        <w:tc>
          <w:tcPr>
            <w:tcW w:type="dxa" w:w="2835"/>
            <w:vAlign w:val="top"/>
            <w:shd w:val="clear" w:color="auto" w:fill="1F4E79"/>
          </w:tcPr>
          <w:p>
            <w:pPr>
              <w:jc w:val="center"/>
            </w:pPr>
            <w:r>
              <w:rPr>
                <w:rFonts w:ascii="Arial" w:hAnsi="Arial"/>
                <w:b/>
                <w:i w:val="0"/>
                <w:color w:val="FFFFFF"/>
                <w:sz w:val="18"/>
              </w:rPr>
              <w:t>Field</w:t>
            </w:r>
          </w:p>
        </w:tc>
        <w:tc>
          <w:tcPr>
            <w:tcW w:type="dxa" w:w="8504"/>
            <w:vAlign w:val="top"/>
            <w:shd w:val="clear" w:color="auto" w:fill="1F4E79"/>
          </w:tcPr>
          <w:p>
            <w:pPr>
              <w:jc w:val="center"/>
            </w:pPr>
            <w:r>
              <w:rPr>
                <w:rFonts w:ascii="Arial" w:hAnsi="Arial"/>
                <w:b/>
                <w:i w:val="0"/>
                <w:color w:val="FFFFFF"/>
                <w:sz w:val="18"/>
              </w:rPr>
              <w:t>Details</w:t>
            </w:r>
          </w:p>
        </w:tc>
      </w:tr>
      <w:tr>
        <w:tc>
          <w:tcPr>
            <w:tcW w:type="dxa" w:w="2835"/>
            <w:vAlign w:val="top"/>
          </w:tcPr>
          <w:p>
            <w:pPr>
              <w:jc w:val="left"/>
            </w:pPr>
            <w:r>
              <w:rPr>
                <w:rFonts w:ascii="Arial" w:hAnsi="Arial"/>
                <w:b w:val="0"/>
                <w:i w:val="0"/>
                <w:sz w:val="18"/>
              </w:rPr>
              <w:t>Engagement</w:t>
            </w:r>
          </w:p>
        </w:tc>
        <w:tc>
          <w:tcPr>
            <w:tcW w:type="dxa" w:w="8504"/>
            <w:vAlign w:val="top"/>
          </w:tcPr>
          <w:p>
            <w:pPr>
              <w:jc w:val="left"/>
            </w:pPr>
            <w:r>
              <w:rPr>
                <w:rFonts w:ascii="Arial" w:hAnsi="Arial"/>
                <w:b w:val="0"/>
                <w:i w:val="0"/>
                <w:sz w:val="18"/>
              </w:rPr>
              <w:t>Statutory Audit of [Name of the Insurance Company] — FY 20XX-XX</w:t>
            </w:r>
          </w:p>
        </w:tc>
      </w:tr>
      <w:tr>
        <w:tc>
          <w:tcPr>
            <w:tcW w:type="dxa" w:w="2835"/>
            <w:vAlign w:val="top"/>
            <w:shd w:val="clear" w:color="auto" w:fill="EBF3FB"/>
          </w:tcPr>
          <w:p>
            <w:pPr>
              <w:jc w:val="left"/>
            </w:pPr>
            <w:r>
              <w:rPr>
                <w:rFonts w:ascii="Arial" w:hAnsi="Arial"/>
                <w:b w:val="0"/>
                <w:i w:val="0"/>
                <w:sz w:val="18"/>
              </w:rPr>
              <w:t>Expert Type</w:t>
            </w:r>
          </w:p>
        </w:tc>
        <w:tc>
          <w:tcPr>
            <w:tcW w:type="dxa" w:w="8504"/>
            <w:vAlign w:val="top"/>
            <w:shd w:val="clear" w:color="auto" w:fill="EBF3FB"/>
          </w:tcPr>
          <w:p>
            <w:pPr>
              <w:jc w:val="left"/>
            </w:pPr>
            <w:r>
              <w:rPr>
                <w:rFonts w:ascii="Arial" w:hAnsi="Arial"/>
                <w:b w:val="0"/>
                <w:i w:val="0"/>
                <w:sz w:val="18"/>
              </w:rPr>
              <w:t>Appointed Actuary (Management's Expert) — SA 620 Para 5(a)</w:t>
            </w:r>
          </w:p>
        </w:tc>
      </w:tr>
      <w:tr>
        <w:tc>
          <w:tcPr>
            <w:tcW w:type="dxa" w:w="2835"/>
            <w:vAlign w:val="top"/>
          </w:tcPr>
          <w:p>
            <w:pPr>
              <w:jc w:val="left"/>
            </w:pPr>
            <w:r>
              <w:rPr>
                <w:rFonts w:ascii="Arial" w:hAnsi="Arial"/>
                <w:b w:val="0"/>
                <w:i w:val="0"/>
                <w:sz w:val="18"/>
              </w:rPr>
              <w:t>Expert Name</w:t>
            </w:r>
          </w:p>
        </w:tc>
        <w:tc>
          <w:tcPr>
            <w:tcW w:type="dxa" w:w="8504"/>
            <w:vAlign w:val="top"/>
          </w:tcPr>
          <w:p>
            <w:pPr>
              <w:jc w:val="left"/>
            </w:pPr>
            <w:r>
              <w:rPr>
                <w:rFonts w:ascii="Arial" w:hAnsi="Arial"/>
                <w:b w:val="0"/>
                <w:i w:val="0"/>
                <w:sz w:val="18"/>
              </w:rPr>
              <w:t>[Name of Appointed Actuary]</w:t>
            </w:r>
          </w:p>
        </w:tc>
      </w:tr>
      <w:tr>
        <w:tc>
          <w:tcPr>
            <w:tcW w:type="dxa" w:w="2835"/>
            <w:vAlign w:val="top"/>
            <w:shd w:val="clear" w:color="auto" w:fill="EBF3FB"/>
          </w:tcPr>
          <w:p>
            <w:pPr>
              <w:jc w:val="left"/>
            </w:pPr>
            <w:r>
              <w:rPr>
                <w:rFonts w:ascii="Arial" w:hAnsi="Arial"/>
                <w:b w:val="0"/>
                <w:i w:val="0"/>
                <w:sz w:val="18"/>
              </w:rPr>
              <w:t>Qualifications</w:t>
            </w:r>
          </w:p>
        </w:tc>
        <w:tc>
          <w:tcPr>
            <w:tcW w:type="dxa" w:w="8504"/>
            <w:vAlign w:val="top"/>
            <w:shd w:val="clear" w:color="auto" w:fill="EBF3FB"/>
          </w:tcPr>
          <w:p>
            <w:pPr>
              <w:jc w:val="left"/>
            </w:pPr>
            <w:r>
              <w:rPr>
                <w:rFonts w:ascii="Arial" w:hAnsi="Arial"/>
                <w:b w:val="0"/>
                <w:i w:val="0"/>
                <w:sz w:val="18"/>
              </w:rPr>
              <w:t>Fellow of the Institute of Actuaries of India (FIAI) — Membership No. [XXXXX]</w:t>
            </w:r>
          </w:p>
        </w:tc>
      </w:tr>
      <w:tr>
        <w:tc>
          <w:tcPr>
            <w:tcW w:type="dxa" w:w="2835"/>
            <w:vAlign w:val="top"/>
          </w:tcPr>
          <w:p>
            <w:pPr>
              <w:jc w:val="left"/>
            </w:pPr>
            <w:r>
              <w:rPr>
                <w:rFonts w:ascii="Arial" w:hAnsi="Arial"/>
                <w:b w:val="0"/>
                <w:i w:val="0"/>
                <w:sz w:val="18"/>
              </w:rPr>
              <w:t>Appointment</w:t>
            </w:r>
          </w:p>
        </w:tc>
        <w:tc>
          <w:tcPr>
            <w:tcW w:type="dxa" w:w="8504"/>
            <w:vAlign w:val="top"/>
          </w:tcPr>
          <w:p>
            <w:pPr>
              <w:jc w:val="left"/>
            </w:pPr>
            <w:r>
              <w:rPr>
                <w:rFonts w:ascii="Arial" w:hAnsi="Arial"/>
                <w:b w:val="0"/>
                <w:i w:val="0"/>
                <w:sz w:val="18"/>
              </w:rPr>
              <w:t>Appointed by the Board in accordance with IRDAI (Appointed Actuary) Regulations, 2017; IRDA/ACTL/CIR/F&amp;A/034/03/2016</w:t>
            </w:r>
          </w:p>
        </w:tc>
      </w:tr>
      <w:tr>
        <w:tc>
          <w:tcPr>
            <w:tcW w:type="dxa" w:w="2835"/>
            <w:vAlign w:val="top"/>
            <w:shd w:val="clear" w:color="auto" w:fill="EBF3FB"/>
          </w:tcPr>
          <w:p>
            <w:pPr>
              <w:jc w:val="left"/>
            </w:pPr>
            <w:r>
              <w:rPr>
                <w:rFonts w:ascii="Arial" w:hAnsi="Arial"/>
                <w:b w:val="0"/>
                <w:i w:val="0"/>
                <w:sz w:val="18"/>
              </w:rPr>
              <w:t>Areas of Reliance</w:t>
            </w:r>
          </w:p>
        </w:tc>
        <w:tc>
          <w:tcPr>
            <w:tcW w:type="dxa" w:w="8504"/>
            <w:vAlign w:val="top"/>
            <w:shd w:val="clear" w:color="auto" w:fill="EBF3FB"/>
          </w:tcPr>
          <w:p>
            <w:pPr>
              <w:jc w:val="left"/>
            </w:pPr>
            <w:r>
              <w:rPr>
                <w:rFonts w:ascii="Arial" w:hAnsi="Arial"/>
                <w:b w:val="0"/>
                <w:i w:val="0"/>
                <w:sz w:val="18"/>
              </w:rPr>
              <w:t>1. Policy Liabilities / Policyholder Reserves (Life)</w:t>
              <w:br/>
              <w:t>2. IBNR / IBNER Provisions (General Insurance)</w:t>
              <w:br/>
              <w:t>3. Premium Deficiency Reserve (PDR)</w:t>
              <w:br/>
              <w:t>4. Solvency Margin Computation (Section 64VA)</w:t>
              <w:br/>
              <w:t>5. Actuarial Embedded Value (if applicable)</w:t>
            </w:r>
          </w:p>
        </w:tc>
      </w:tr>
      <w:tr>
        <w:tc>
          <w:tcPr>
            <w:tcW w:type="dxa" w:w="2835"/>
            <w:vAlign w:val="top"/>
          </w:tcPr>
          <w:p>
            <w:pPr>
              <w:jc w:val="left"/>
            </w:pPr>
            <w:r>
              <w:rPr>
                <w:rFonts w:ascii="Arial" w:hAnsi="Arial"/>
                <w:b w:val="0"/>
                <w:i w:val="0"/>
                <w:sz w:val="18"/>
              </w:rPr>
              <w:t>Audit Areas Affected</w:t>
            </w:r>
          </w:p>
        </w:tc>
        <w:tc>
          <w:tcPr>
            <w:tcW w:type="dxa" w:w="8504"/>
            <w:vAlign w:val="top"/>
          </w:tcPr>
          <w:p>
            <w:pPr>
              <w:jc w:val="left"/>
            </w:pPr>
            <w:r>
              <w:rPr>
                <w:rFonts w:ascii="Arial" w:hAnsi="Arial"/>
                <w:b w:val="0"/>
                <w:i w:val="0"/>
                <w:sz w:val="18"/>
              </w:rPr>
              <w:t>Revenue Account — Claims; Balance Sheet — Schedule 4 (Policy Liabilities), Schedule 5 (Insurance Reserves); Solvency Certificate</w:t>
            </w:r>
          </w:p>
        </w:tc>
      </w:tr>
      <w:tr>
        <w:tc>
          <w:tcPr>
            <w:tcW w:type="dxa" w:w="2835"/>
            <w:vAlign w:val="top"/>
            <w:shd w:val="clear" w:color="auto" w:fill="EBF3FB"/>
          </w:tcPr>
          <w:p>
            <w:pPr>
              <w:jc w:val="left"/>
            </w:pPr>
            <w:r>
              <w:rPr>
                <w:rFonts w:ascii="Arial" w:hAnsi="Arial"/>
                <w:b w:val="0"/>
                <w:i w:val="0"/>
                <w:sz w:val="18"/>
              </w:rPr>
              <w:t>Reporting Date of Actuary's Certificate</w:t>
            </w:r>
          </w:p>
        </w:tc>
        <w:tc>
          <w:tcPr>
            <w:tcW w:type="dxa" w:w="8504"/>
            <w:vAlign w:val="top"/>
            <w:shd w:val="clear" w:color="auto" w:fill="EBF3FB"/>
          </w:tcPr>
          <w:p>
            <w:pPr>
              <w:jc w:val="left"/>
            </w:pPr>
            <w:r>
              <w:rPr>
                <w:rFonts w:ascii="Arial" w:hAnsi="Arial"/>
                <w:b w:val="0"/>
                <w:i w:val="0"/>
                <w:sz w:val="18"/>
              </w:rPr>
              <w:t>[DD Month 20XX]</w:t>
            </w:r>
          </w:p>
        </w:tc>
      </w:tr>
      <w:tr>
        <w:tc>
          <w:tcPr>
            <w:tcW w:type="dxa" w:w="2835"/>
            <w:vAlign w:val="top"/>
          </w:tcPr>
          <w:p>
            <w:pPr>
              <w:jc w:val="left"/>
            </w:pPr>
            <w:r>
              <w:rPr>
                <w:rFonts w:ascii="Arial" w:hAnsi="Arial"/>
                <w:b w:val="0"/>
                <w:i w:val="0"/>
                <w:sz w:val="18"/>
              </w:rPr>
              <w:t>Date of Auditor's Report</w:t>
            </w:r>
          </w:p>
        </w:tc>
        <w:tc>
          <w:tcPr>
            <w:tcW w:type="dxa" w:w="8504"/>
            <w:vAlign w:val="top"/>
          </w:tcPr>
          <w:p>
            <w:pPr>
              <w:jc w:val="left"/>
            </w:pPr>
            <w:r>
              <w:rPr>
                <w:rFonts w:ascii="Arial" w:hAnsi="Arial"/>
                <w:b w:val="0"/>
                <w:i w:val="0"/>
                <w:sz w:val="18"/>
              </w:rPr>
              <w:t>[DD Month 20XX]</w:t>
            </w:r>
          </w:p>
        </w:tc>
      </w:tr>
    </w:tbl>
    <w:p/>
    <w:p>
      <w:pPr>
        <w:spacing w:before="160" w:after="80"/>
      </w:pPr>
      <w:r>
        <w:rPr>
          <w:rFonts w:ascii="Arial" w:hAnsi="Arial"/>
          <w:b/>
          <w:i w:val="0"/>
          <w:sz w:val="24"/>
        </w:rPr>
        <w:t>1. Evaluation of Competence and Capabilities (SA 620 Para 9)</w:t>
      </w:r>
    </w:p>
    <w:tbl>
      <w:tblPr>
        <w:tblStyle w:val="TableGrid"/>
        <w:tblW w:type="auto" w:w="0"/>
        <w:tblLook w:firstColumn="1" w:firstRow="1" w:lastColumn="0" w:lastRow="0" w:noHBand="0" w:noVBand="1" w:val="04A0"/>
      </w:tblPr>
      <w:tblGrid>
        <w:gridCol w:w="7285"/>
        <w:gridCol w:w="7285"/>
      </w:tblGrid>
      <w:tr>
        <w:tc>
          <w:tcPr>
            <w:tcW w:type="dxa" w:w="3402"/>
            <w:vAlign w:val="top"/>
            <w:shd w:val="clear" w:color="auto" w:fill="1F4E79"/>
          </w:tcPr>
          <w:p>
            <w:pPr>
              <w:jc w:val="center"/>
            </w:pPr>
            <w:r>
              <w:rPr>
                <w:rFonts w:ascii="Arial" w:hAnsi="Arial"/>
                <w:b/>
                <w:i w:val="0"/>
                <w:color w:val="FFFFFF"/>
                <w:sz w:val="18"/>
              </w:rPr>
              <w:t>Evaluation Criterion</w:t>
            </w:r>
          </w:p>
        </w:tc>
        <w:tc>
          <w:tcPr>
            <w:tcW w:type="dxa" w:w="7937"/>
            <w:vAlign w:val="top"/>
            <w:shd w:val="clear" w:color="auto" w:fill="1F4E79"/>
          </w:tcPr>
          <w:p>
            <w:pPr>
              <w:jc w:val="center"/>
            </w:pPr>
            <w:r>
              <w:rPr>
                <w:rFonts w:ascii="Arial" w:hAnsi="Arial"/>
                <w:b/>
                <w:i w:val="0"/>
                <w:color w:val="FFFFFF"/>
                <w:sz w:val="18"/>
              </w:rPr>
              <w:t>Our Assessment</w:t>
            </w:r>
          </w:p>
        </w:tc>
      </w:tr>
      <w:tr>
        <w:tc>
          <w:tcPr>
            <w:tcW w:type="dxa" w:w="3402"/>
            <w:vAlign w:val="top"/>
          </w:tcPr>
          <w:p>
            <w:pPr>
              <w:jc w:val="left"/>
            </w:pPr>
            <w:r>
              <w:rPr>
                <w:rFonts w:ascii="Arial" w:hAnsi="Arial"/>
                <w:b w:val="0"/>
                <w:i w:val="0"/>
                <w:sz w:val="18"/>
              </w:rPr>
              <w:t>Professional qualification and certification</w:t>
            </w:r>
          </w:p>
        </w:tc>
        <w:tc>
          <w:tcPr>
            <w:tcW w:type="dxa" w:w="7937"/>
            <w:vAlign w:val="top"/>
          </w:tcPr>
          <w:p>
            <w:pPr>
              <w:jc w:val="left"/>
            </w:pPr>
            <w:r>
              <w:rPr>
                <w:rFonts w:ascii="Arial" w:hAnsi="Arial"/>
                <w:b w:val="0"/>
                <w:i w:val="0"/>
                <w:sz w:val="18"/>
              </w:rPr>
              <w:t>The Appointed Actuary holds FIAI designation and is on the IRDAI panel of Appointed Actuaries. Membership is current and in good standing. [Verified from IAI website / confirmation letter]</w:t>
            </w:r>
          </w:p>
        </w:tc>
      </w:tr>
      <w:tr>
        <w:tc>
          <w:tcPr>
            <w:tcW w:type="dxa" w:w="3402"/>
            <w:vAlign w:val="top"/>
            <w:shd w:val="clear" w:color="auto" w:fill="EBF3FB"/>
          </w:tcPr>
          <w:p>
            <w:pPr>
              <w:jc w:val="left"/>
            </w:pPr>
            <w:r>
              <w:rPr>
                <w:rFonts w:ascii="Arial" w:hAnsi="Arial"/>
                <w:b w:val="0"/>
                <w:i w:val="0"/>
                <w:sz w:val="18"/>
              </w:rPr>
              <w:t>Experience in insurance actuarial work</w:t>
            </w:r>
          </w:p>
        </w:tc>
        <w:tc>
          <w:tcPr>
            <w:tcW w:type="dxa" w:w="7937"/>
            <w:vAlign w:val="top"/>
            <w:shd w:val="clear" w:color="auto" w:fill="EBF3FB"/>
          </w:tcPr>
          <w:p>
            <w:pPr>
              <w:jc w:val="left"/>
            </w:pPr>
            <w:r>
              <w:rPr>
                <w:rFonts w:ascii="Arial" w:hAnsi="Arial"/>
                <w:b w:val="0"/>
                <w:i w:val="0"/>
                <w:sz w:val="18"/>
              </w:rPr>
              <w:t>[XX] years of experience as Appointed Actuary / practicing actuary in insurance sector. Relevant experience in [Life / General / Health] insurance valuation.</w:t>
            </w:r>
          </w:p>
        </w:tc>
      </w:tr>
      <w:tr>
        <w:tc>
          <w:tcPr>
            <w:tcW w:type="dxa" w:w="3402"/>
            <w:vAlign w:val="top"/>
          </w:tcPr>
          <w:p>
            <w:pPr>
              <w:jc w:val="left"/>
            </w:pPr>
            <w:r>
              <w:rPr>
                <w:rFonts w:ascii="Arial" w:hAnsi="Arial"/>
                <w:b w:val="0"/>
                <w:i w:val="0"/>
                <w:sz w:val="18"/>
              </w:rPr>
              <w:t>Familiarity with applicable actuarial standards</w:t>
            </w:r>
          </w:p>
        </w:tc>
        <w:tc>
          <w:tcPr>
            <w:tcW w:type="dxa" w:w="7937"/>
            <w:vAlign w:val="top"/>
          </w:tcPr>
          <w:p>
            <w:pPr>
              <w:jc w:val="left"/>
            </w:pPr>
            <w:r>
              <w:rPr>
                <w:rFonts w:ascii="Arial" w:hAnsi="Arial"/>
                <w:b w:val="0"/>
                <w:i w:val="0"/>
                <w:sz w:val="18"/>
              </w:rPr>
              <w:t>Work performed in accordance with: (a) Actuarial Practice Standard (APS) 7 — Life Insurance; (b) APS 24 — Appointed Actuary's Report; (c) Guidance Note GN on IBNR by IAI (General Insurance). IRDAI circular compliance confirmed.</w:t>
            </w:r>
          </w:p>
        </w:tc>
      </w:tr>
      <w:tr>
        <w:tc>
          <w:tcPr>
            <w:tcW w:type="dxa" w:w="3402"/>
            <w:vAlign w:val="top"/>
            <w:shd w:val="clear" w:color="auto" w:fill="EBF3FB"/>
          </w:tcPr>
          <w:p>
            <w:pPr>
              <w:jc w:val="left"/>
            </w:pPr>
            <w:r>
              <w:rPr>
                <w:rFonts w:ascii="Arial" w:hAnsi="Arial"/>
                <w:b w:val="0"/>
                <w:i w:val="0"/>
                <w:sz w:val="18"/>
              </w:rPr>
              <w:t>Independence from the Company</w:t>
            </w:r>
          </w:p>
        </w:tc>
        <w:tc>
          <w:tcPr>
            <w:tcW w:type="dxa" w:w="7937"/>
            <w:vAlign w:val="top"/>
            <w:shd w:val="clear" w:color="auto" w:fill="EBF3FB"/>
          </w:tcPr>
          <w:p>
            <w:pPr>
              <w:jc w:val="left"/>
            </w:pPr>
            <w:r>
              <w:rPr>
                <w:rFonts w:ascii="Arial" w:hAnsi="Arial"/>
                <w:b w:val="0"/>
                <w:i w:val="0"/>
                <w:sz w:val="18"/>
              </w:rPr>
              <w:t>The Appointed Actuary is an employee / independent professional [specify]. No significant threats to objectivity identified. The actuary has confirmed independence in the valuation report.</w:t>
            </w:r>
          </w:p>
        </w:tc>
      </w:tr>
    </w:tbl>
    <w:p/>
    <w:p>
      <w:pPr>
        <w:spacing w:before="160" w:after="80"/>
      </w:pPr>
      <w:r>
        <w:rPr>
          <w:rFonts w:ascii="Arial" w:hAnsi="Arial"/>
          <w:b/>
          <w:i w:val="0"/>
          <w:sz w:val="24"/>
        </w:rPr>
        <w:t>2. Understanding the Expert's Work (SA 620 Para 11–12)</w:t>
      </w:r>
    </w:p>
    <w:tbl>
      <w:tblPr>
        <w:tblStyle w:val="TableGrid"/>
        <w:tblW w:type="auto" w:w="0"/>
        <w:tblLook w:firstColumn="1" w:firstRow="1" w:lastColumn="0" w:lastRow="0" w:noHBand="0" w:noVBand="1" w:val="04A0"/>
      </w:tblPr>
      <w:tblGrid>
        <w:gridCol w:w="7285"/>
        <w:gridCol w:w="7285"/>
      </w:tblGrid>
      <w:tr>
        <w:tc>
          <w:tcPr>
            <w:tcW w:type="dxa" w:w="2835"/>
            <w:vAlign w:val="top"/>
            <w:shd w:val="clear" w:color="auto" w:fill="1F4E79"/>
          </w:tcPr>
          <w:p>
            <w:pPr>
              <w:jc w:val="center"/>
            </w:pPr>
            <w:r>
              <w:rPr>
                <w:rFonts w:ascii="Arial" w:hAnsi="Arial"/>
                <w:b/>
                <w:i w:val="0"/>
                <w:color w:val="FFFFFF"/>
                <w:sz w:val="18"/>
              </w:rPr>
              <w:t>Area</w:t>
            </w:r>
          </w:p>
        </w:tc>
        <w:tc>
          <w:tcPr>
            <w:tcW w:type="dxa" w:w="8504"/>
            <w:vAlign w:val="top"/>
            <w:shd w:val="clear" w:color="auto" w:fill="1F4E79"/>
          </w:tcPr>
          <w:p>
            <w:pPr>
              <w:jc w:val="center"/>
            </w:pPr>
            <w:r>
              <w:rPr>
                <w:rFonts w:ascii="Arial" w:hAnsi="Arial"/>
                <w:b/>
                <w:i w:val="0"/>
                <w:color w:val="FFFFFF"/>
                <w:sz w:val="18"/>
              </w:rPr>
              <w:t>Details of Actuary's Methodology and Assumptions</w:t>
            </w:r>
          </w:p>
        </w:tc>
      </w:tr>
      <w:tr>
        <w:tc>
          <w:tcPr>
            <w:tcW w:type="dxa" w:w="2835"/>
            <w:vAlign w:val="top"/>
          </w:tcPr>
          <w:p>
            <w:pPr>
              <w:jc w:val="left"/>
            </w:pPr>
            <w:r>
              <w:rPr>
                <w:rFonts w:ascii="Arial" w:hAnsi="Arial"/>
                <w:b w:val="0"/>
                <w:i w:val="0"/>
                <w:sz w:val="18"/>
              </w:rPr>
              <w:t>Valuation method — Life</w:t>
            </w:r>
          </w:p>
        </w:tc>
        <w:tc>
          <w:tcPr>
            <w:tcW w:type="dxa" w:w="8504"/>
            <w:vAlign w:val="top"/>
          </w:tcPr>
          <w:p>
            <w:pPr>
              <w:jc w:val="left"/>
            </w:pPr>
            <w:r>
              <w:rPr>
                <w:rFonts w:ascii="Arial" w:hAnsi="Arial"/>
                <w:b w:val="0"/>
                <w:i w:val="0"/>
                <w:sz w:val="18"/>
              </w:rPr>
              <w:t>Gross Premium Valuation (GPV) / Net Premium Valuation (NPV) per Schedule to Insurance Regulatory Development Authority (Assets, Liabilities and Solvency Margin of Life Insurance Business) Regulations, 2000. Policy-by-policy valuation using [vendor actuarial software — name].</w:t>
            </w:r>
          </w:p>
        </w:tc>
      </w:tr>
      <w:tr>
        <w:tc>
          <w:tcPr>
            <w:tcW w:type="dxa" w:w="2835"/>
            <w:vAlign w:val="top"/>
            <w:shd w:val="clear" w:color="auto" w:fill="EBF3FB"/>
          </w:tcPr>
          <w:p>
            <w:pPr>
              <w:jc w:val="left"/>
            </w:pPr>
            <w:r>
              <w:rPr>
                <w:rFonts w:ascii="Arial" w:hAnsi="Arial"/>
                <w:b w:val="0"/>
                <w:i w:val="0"/>
                <w:sz w:val="18"/>
              </w:rPr>
              <w:t>Valuation method — General (IBNR)</w:t>
            </w:r>
          </w:p>
        </w:tc>
        <w:tc>
          <w:tcPr>
            <w:tcW w:type="dxa" w:w="8504"/>
            <w:vAlign w:val="top"/>
            <w:shd w:val="clear" w:color="auto" w:fill="EBF3FB"/>
          </w:tcPr>
          <w:p>
            <w:pPr>
              <w:jc w:val="left"/>
            </w:pPr>
            <w:r>
              <w:rPr>
                <w:rFonts w:ascii="Arial" w:hAnsi="Arial"/>
                <w:b w:val="0"/>
                <w:i w:val="0"/>
                <w:sz w:val="18"/>
              </w:rPr>
              <w:t>Chain Ladder Method / Bornhuetter-Ferguson Method applied to paid and incurred triangles for each line of business. Development factors: [last 5 years / last 3 years]. IBNER computed as a percentage of case reserves based on historical patterns.</w:t>
            </w:r>
          </w:p>
        </w:tc>
      </w:tr>
      <w:tr>
        <w:tc>
          <w:tcPr>
            <w:tcW w:type="dxa" w:w="2835"/>
            <w:vAlign w:val="top"/>
          </w:tcPr>
          <w:p>
            <w:pPr>
              <w:jc w:val="left"/>
            </w:pPr>
            <w:r>
              <w:rPr>
                <w:rFonts w:ascii="Arial" w:hAnsi="Arial"/>
                <w:b w:val="0"/>
                <w:i w:val="0"/>
                <w:sz w:val="18"/>
              </w:rPr>
              <w:t>Mortality table used</w:t>
            </w:r>
          </w:p>
        </w:tc>
        <w:tc>
          <w:tcPr>
            <w:tcW w:type="dxa" w:w="8504"/>
            <w:vAlign w:val="top"/>
          </w:tcPr>
          <w:p>
            <w:pPr>
              <w:jc w:val="left"/>
            </w:pPr>
            <w:r>
              <w:rPr>
                <w:rFonts w:ascii="Arial" w:hAnsi="Arial"/>
                <w:b w:val="0"/>
                <w:i w:val="0"/>
                <w:sz w:val="18"/>
              </w:rPr>
              <w:t>[LIC (2006-08) / IALM (2012-14) / IRDA Table] — [Male/Female/Aggregate]. [Any table adjustments and rationale].</w:t>
            </w:r>
          </w:p>
        </w:tc>
      </w:tr>
      <w:tr>
        <w:tc>
          <w:tcPr>
            <w:tcW w:type="dxa" w:w="2835"/>
            <w:vAlign w:val="top"/>
            <w:shd w:val="clear" w:color="auto" w:fill="EBF3FB"/>
          </w:tcPr>
          <w:p>
            <w:pPr>
              <w:jc w:val="left"/>
            </w:pPr>
            <w:r>
              <w:rPr>
                <w:rFonts w:ascii="Arial" w:hAnsi="Arial"/>
                <w:b w:val="0"/>
                <w:i w:val="0"/>
                <w:sz w:val="18"/>
              </w:rPr>
              <w:t>Discount rate</w:t>
            </w:r>
          </w:p>
        </w:tc>
        <w:tc>
          <w:tcPr>
            <w:tcW w:type="dxa" w:w="8504"/>
            <w:vAlign w:val="top"/>
            <w:shd w:val="clear" w:color="auto" w:fill="EBF3FB"/>
          </w:tcPr>
          <w:p>
            <w:pPr>
              <w:jc w:val="left"/>
            </w:pPr>
            <w:r>
              <w:rPr>
                <w:rFonts w:ascii="Arial" w:hAnsi="Arial"/>
                <w:b w:val="0"/>
                <w:i w:val="0"/>
                <w:sz w:val="18"/>
              </w:rPr>
              <w:t>[XX.XX]% — based on G-Sec yield curve / IRDAI prescribed rate / risk-free rate. [Justification for rate used]</w:t>
            </w:r>
          </w:p>
        </w:tc>
      </w:tr>
      <w:tr>
        <w:tc>
          <w:tcPr>
            <w:tcW w:type="dxa" w:w="2835"/>
            <w:vAlign w:val="top"/>
          </w:tcPr>
          <w:p>
            <w:pPr>
              <w:jc w:val="left"/>
            </w:pPr>
            <w:r>
              <w:rPr>
                <w:rFonts w:ascii="Arial" w:hAnsi="Arial"/>
                <w:b w:val="0"/>
                <w:i w:val="0"/>
                <w:sz w:val="18"/>
              </w:rPr>
              <w:t>Lapse / persistency rates</w:t>
            </w:r>
          </w:p>
        </w:tc>
        <w:tc>
          <w:tcPr>
            <w:tcW w:type="dxa" w:w="8504"/>
            <w:vAlign w:val="top"/>
          </w:tcPr>
          <w:p>
            <w:pPr>
              <w:jc w:val="left"/>
            </w:pPr>
            <w:r>
              <w:rPr>
                <w:rFonts w:ascii="Arial" w:hAnsi="Arial"/>
                <w:b w:val="0"/>
                <w:i w:val="0"/>
                <w:sz w:val="18"/>
              </w:rPr>
              <w:t>Based on Company's experience for [last 5 years]. Any assumed improvement or deterioration documented in the actuarial report.</w:t>
            </w:r>
          </w:p>
        </w:tc>
      </w:tr>
      <w:tr>
        <w:tc>
          <w:tcPr>
            <w:tcW w:type="dxa" w:w="2835"/>
            <w:vAlign w:val="top"/>
            <w:shd w:val="clear" w:color="auto" w:fill="EBF3FB"/>
          </w:tcPr>
          <w:p>
            <w:pPr>
              <w:jc w:val="left"/>
            </w:pPr>
            <w:r>
              <w:rPr>
                <w:rFonts w:ascii="Arial" w:hAnsi="Arial"/>
                <w:b w:val="0"/>
                <w:i w:val="0"/>
                <w:sz w:val="18"/>
              </w:rPr>
              <w:t>Morbidity / Claim frequency (Health)</w:t>
            </w:r>
          </w:p>
        </w:tc>
        <w:tc>
          <w:tcPr>
            <w:tcW w:type="dxa" w:w="8504"/>
            <w:vAlign w:val="top"/>
            <w:shd w:val="clear" w:color="auto" w:fill="EBF3FB"/>
          </w:tcPr>
          <w:p>
            <w:pPr>
              <w:jc w:val="left"/>
            </w:pPr>
            <w:r>
              <w:rPr>
                <w:rFonts w:ascii="Arial" w:hAnsi="Arial"/>
                <w:b w:val="0"/>
                <w:i w:val="0"/>
                <w:sz w:val="18"/>
              </w:rPr>
              <w:t>Based on [Company experience / industry tables]. Data credibility assessment performed by the actuary.</w:t>
            </w:r>
          </w:p>
        </w:tc>
      </w:tr>
      <w:tr>
        <w:tc>
          <w:tcPr>
            <w:tcW w:type="dxa" w:w="2835"/>
            <w:vAlign w:val="top"/>
          </w:tcPr>
          <w:p>
            <w:pPr>
              <w:jc w:val="left"/>
            </w:pPr>
            <w:r>
              <w:rPr>
                <w:rFonts w:ascii="Arial" w:hAnsi="Arial"/>
                <w:b w:val="0"/>
                <w:i w:val="0"/>
                <w:sz w:val="18"/>
              </w:rPr>
              <w:t>Sensitivity analysis</w:t>
            </w:r>
          </w:p>
        </w:tc>
        <w:tc>
          <w:tcPr>
            <w:tcW w:type="dxa" w:w="8504"/>
            <w:vAlign w:val="top"/>
          </w:tcPr>
          <w:p>
            <w:pPr>
              <w:jc w:val="left"/>
            </w:pPr>
            <w:r>
              <w:rPr>
                <w:rFonts w:ascii="Arial" w:hAnsi="Arial"/>
                <w:b w:val="0"/>
                <w:i w:val="0"/>
                <w:sz w:val="18"/>
              </w:rPr>
              <w:t>The actuarial report includes sensitivity analysis for key assumptions (discount rate ±50bps, mortality ±10%, lapse ±10%). Results reviewed and found reasonable.</w:t>
            </w:r>
          </w:p>
        </w:tc>
      </w:tr>
      <w:tr>
        <w:tc>
          <w:tcPr>
            <w:tcW w:type="dxa" w:w="2835"/>
            <w:vAlign w:val="top"/>
            <w:shd w:val="clear" w:color="auto" w:fill="EBF3FB"/>
          </w:tcPr>
          <w:p>
            <w:pPr>
              <w:jc w:val="left"/>
            </w:pPr>
            <w:r>
              <w:rPr>
                <w:rFonts w:ascii="Arial" w:hAnsi="Arial"/>
                <w:b w:val="0"/>
                <w:i w:val="0"/>
                <w:sz w:val="18"/>
              </w:rPr>
              <w:t>PDR computation (General)</w:t>
            </w:r>
          </w:p>
        </w:tc>
        <w:tc>
          <w:tcPr>
            <w:tcW w:type="dxa" w:w="8504"/>
            <w:vAlign w:val="top"/>
            <w:shd w:val="clear" w:color="auto" w:fill="EBF3FB"/>
          </w:tcPr>
          <w:p>
            <w:pPr>
              <w:jc w:val="left"/>
            </w:pPr>
            <w:r>
              <w:rPr>
                <w:rFonts w:ascii="Arial" w:hAnsi="Arial"/>
                <w:b w:val="0"/>
                <w:i w:val="0"/>
                <w:sz w:val="18"/>
              </w:rPr>
              <w:t>Premium adequacy tested at class level. PDR of ₹[XX] lakh recognised for [Motor TP / Health] where expected claims exceed unearned premium.</w:t>
            </w:r>
          </w:p>
        </w:tc>
      </w:tr>
    </w:tbl>
    <w:p/>
    <w:p>
      <w:pPr>
        <w:spacing w:before="160" w:after="80"/>
      </w:pPr>
      <w:r>
        <w:rPr>
          <w:rFonts w:ascii="Arial" w:hAnsi="Arial"/>
          <w:b/>
          <w:i w:val="0"/>
          <w:sz w:val="24"/>
        </w:rPr>
        <w:t>3. Procedures Performed by Us (SA 620 Para 12–14)</w:t>
      </w:r>
    </w:p>
    <w:tbl>
      <w:tblPr>
        <w:tblStyle w:val="TableGrid"/>
        <w:tblW w:type="auto" w:w="0"/>
        <w:tblLook w:firstColumn="1" w:firstRow="1" w:lastColumn="0" w:lastRow="0" w:noHBand="0" w:noVBand="1" w:val="04A0"/>
      </w:tblPr>
      <w:tblGrid>
        <w:gridCol w:w="7285"/>
        <w:gridCol w:w="7285"/>
      </w:tblGrid>
      <w:tr>
        <w:tc>
          <w:tcPr>
            <w:tcW w:type="dxa" w:w="4535"/>
            <w:vAlign w:val="top"/>
            <w:shd w:val="clear" w:color="auto" w:fill="1F4E79"/>
          </w:tcPr>
          <w:p>
            <w:pPr>
              <w:jc w:val="center"/>
            </w:pPr>
            <w:r>
              <w:rPr>
                <w:rFonts w:ascii="Arial" w:hAnsi="Arial"/>
                <w:b/>
                <w:i w:val="0"/>
                <w:color w:val="FFFFFF"/>
                <w:sz w:val="18"/>
              </w:rPr>
              <w:t>Procedure</w:t>
            </w:r>
          </w:p>
        </w:tc>
        <w:tc>
          <w:tcPr>
            <w:tcW w:type="dxa" w:w="6803"/>
            <w:vAlign w:val="top"/>
            <w:shd w:val="clear" w:color="auto" w:fill="1F4E79"/>
          </w:tcPr>
          <w:p>
            <w:pPr>
              <w:jc w:val="center"/>
            </w:pPr>
            <w:r>
              <w:rPr>
                <w:rFonts w:ascii="Arial" w:hAnsi="Arial"/>
                <w:b/>
                <w:i w:val="0"/>
                <w:color w:val="FFFFFF"/>
                <w:sz w:val="18"/>
              </w:rPr>
              <w:t>Finding / Result</w:t>
            </w:r>
          </w:p>
        </w:tc>
      </w:tr>
      <w:tr>
        <w:tc>
          <w:tcPr>
            <w:tcW w:type="dxa" w:w="4535"/>
            <w:vAlign w:val="top"/>
          </w:tcPr>
          <w:p>
            <w:pPr>
              <w:jc w:val="left"/>
            </w:pPr>
            <w:r>
              <w:rPr>
                <w:rFonts w:ascii="Arial" w:hAnsi="Arial"/>
                <w:b w:val="0"/>
                <w:i w:val="0"/>
                <w:sz w:val="18"/>
              </w:rPr>
              <w:t>Obtained and reviewed the Appointed Actuary's full valuation report and certificate dated [date]</w:t>
            </w:r>
          </w:p>
        </w:tc>
        <w:tc>
          <w:tcPr>
            <w:tcW w:type="dxa" w:w="6803"/>
            <w:vAlign w:val="top"/>
          </w:tcPr>
          <w:p>
            <w:pPr>
              <w:jc w:val="left"/>
            </w:pPr>
            <w:r>
              <w:rPr>
                <w:rFonts w:ascii="Arial" w:hAnsi="Arial"/>
                <w:b w:val="0"/>
                <w:i w:val="0"/>
                <w:sz w:val="18"/>
              </w:rPr>
              <w:t>[Reviewed — findings noted below / No exceptions]</w:t>
            </w:r>
          </w:p>
        </w:tc>
      </w:tr>
      <w:tr>
        <w:tc>
          <w:tcPr>
            <w:tcW w:type="dxa" w:w="4535"/>
            <w:vAlign w:val="top"/>
            <w:shd w:val="clear" w:color="auto" w:fill="EBF3FB"/>
          </w:tcPr>
          <w:p>
            <w:pPr>
              <w:jc w:val="left"/>
            </w:pPr>
            <w:r>
              <w:rPr>
                <w:rFonts w:ascii="Arial" w:hAnsi="Arial"/>
                <w:b w:val="0"/>
                <w:i w:val="0"/>
                <w:sz w:val="18"/>
              </w:rPr>
              <w:t>Agreed the policy liabilities / reserve amounts per the actuarial report to the financial statements (Balance Sheet Schedule 4 / Revenue Account line items)</w:t>
            </w:r>
          </w:p>
        </w:tc>
        <w:tc>
          <w:tcPr>
            <w:tcW w:type="dxa" w:w="6803"/>
            <w:vAlign w:val="top"/>
            <w:shd w:val="clear" w:color="auto" w:fill="EBF3FB"/>
          </w:tcPr>
          <w:p>
            <w:pPr>
              <w:jc w:val="left"/>
            </w:pPr>
            <w:r>
              <w:rPr>
                <w:rFonts w:ascii="Arial" w:hAnsi="Arial"/>
                <w:b w:val="0"/>
                <w:i w:val="0"/>
                <w:sz w:val="18"/>
              </w:rPr>
              <w:t>Agreed without exception / ₹[XX] lakh difference — reconciled as [explanation]</w:t>
            </w:r>
          </w:p>
        </w:tc>
      </w:tr>
      <w:tr>
        <w:tc>
          <w:tcPr>
            <w:tcW w:type="dxa" w:w="4535"/>
            <w:vAlign w:val="top"/>
          </w:tcPr>
          <w:p>
            <w:pPr>
              <w:jc w:val="left"/>
            </w:pPr>
            <w:r>
              <w:rPr>
                <w:rFonts w:ascii="Arial" w:hAnsi="Arial"/>
                <w:b w:val="0"/>
                <w:i w:val="0"/>
                <w:sz w:val="18"/>
              </w:rPr>
              <w:t>Reviewed the actuarial data inputs (policy data, claims data, premium data) by agreeing to source systems</w:t>
            </w:r>
          </w:p>
        </w:tc>
        <w:tc>
          <w:tcPr>
            <w:tcW w:type="dxa" w:w="6803"/>
            <w:vAlign w:val="top"/>
          </w:tcPr>
          <w:p>
            <w:pPr>
              <w:jc w:val="left"/>
            </w:pPr>
            <w:r>
              <w:rPr>
                <w:rFonts w:ascii="Arial" w:hAnsi="Arial"/>
                <w:b w:val="0"/>
                <w:i w:val="0"/>
                <w:sz w:val="18"/>
              </w:rPr>
              <w:t>Data extract from [policy admin system] agreed to MIS / trial balance. [Completeness and accuracy of data confirmed]</w:t>
            </w:r>
          </w:p>
        </w:tc>
      </w:tr>
      <w:tr>
        <w:tc>
          <w:tcPr>
            <w:tcW w:type="dxa" w:w="4535"/>
            <w:vAlign w:val="top"/>
            <w:shd w:val="clear" w:color="auto" w:fill="EBF3FB"/>
          </w:tcPr>
          <w:p>
            <w:pPr>
              <w:jc w:val="left"/>
            </w:pPr>
            <w:r>
              <w:rPr>
                <w:rFonts w:ascii="Arial" w:hAnsi="Arial"/>
                <w:b w:val="0"/>
                <w:i w:val="0"/>
                <w:sz w:val="18"/>
              </w:rPr>
              <w:t>Tested the actuary's assumptions against historical experience and market benchmarks</w:t>
            </w:r>
          </w:p>
        </w:tc>
        <w:tc>
          <w:tcPr>
            <w:tcW w:type="dxa" w:w="6803"/>
            <w:vAlign w:val="top"/>
            <w:shd w:val="clear" w:color="auto" w:fill="EBF3FB"/>
          </w:tcPr>
          <w:p>
            <w:pPr>
              <w:jc w:val="left"/>
            </w:pPr>
            <w:r>
              <w:rPr>
                <w:rFonts w:ascii="Arial" w:hAnsi="Arial"/>
                <w:b w:val="0"/>
                <w:i w:val="0"/>
                <w:sz w:val="18"/>
              </w:rPr>
              <w:t>[Discount rate within range of IRDAI guidance / mortality table appropriate for the business profile / lapse rates consistent with Company's 3-year experience]</w:t>
            </w:r>
          </w:p>
        </w:tc>
      </w:tr>
      <w:tr>
        <w:tc>
          <w:tcPr>
            <w:tcW w:type="dxa" w:w="4535"/>
            <w:vAlign w:val="top"/>
          </w:tcPr>
          <w:p>
            <w:pPr>
              <w:jc w:val="left"/>
            </w:pPr>
            <w:r>
              <w:rPr>
                <w:rFonts w:ascii="Arial" w:hAnsi="Arial"/>
                <w:b w:val="0"/>
                <w:i w:val="0"/>
                <w:sz w:val="18"/>
              </w:rPr>
              <w:t>Considered whether the scope of the expert's work is adequate for our purposes</w:t>
            </w:r>
          </w:p>
        </w:tc>
        <w:tc>
          <w:tcPr>
            <w:tcW w:type="dxa" w:w="6803"/>
            <w:vAlign w:val="top"/>
          </w:tcPr>
          <w:p>
            <w:pPr>
              <w:jc w:val="left"/>
            </w:pPr>
            <w:r>
              <w:rPr>
                <w:rFonts w:ascii="Arial" w:hAnsi="Arial"/>
                <w:b w:val="0"/>
                <w:i w:val="0"/>
                <w:sz w:val="18"/>
              </w:rPr>
              <w:t>Scope is adequate — the actuarial certificate covers all policyholder liabilities and solvency margin as required under IRDAI Regulations</w:t>
            </w:r>
          </w:p>
        </w:tc>
      </w:tr>
      <w:tr>
        <w:tc>
          <w:tcPr>
            <w:tcW w:type="dxa" w:w="4535"/>
            <w:vAlign w:val="top"/>
            <w:shd w:val="clear" w:color="auto" w:fill="EBF3FB"/>
          </w:tcPr>
          <w:p>
            <w:pPr>
              <w:jc w:val="left"/>
            </w:pPr>
            <w:r>
              <w:rPr>
                <w:rFonts w:ascii="Arial" w:hAnsi="Arial"/>
                <w:b w:val="0"/>
                <w:i w:val="0"/>
                <w:sz w:val="18"/>
              </w:rPr>
              <w:t>Evaluated whether the findings are consistent with other audit evidence</w:t>
            </w:r>
          </w:p>
        </w:tc>
        <w:tc>
          <w:tcPr>
            <w:tcW w:type="dxa" w:w="6803"/>
            <w:vAlign w:val="top"/>
            <w:shd w:val="clear" w:color="auto" w:fill="EBF3FB"/>
          </w:tcPr>
          <w:p>
            <w:pPr>
              <w:jc w:val="left"/>
            </w:pPr>
            <w:r>
              <w:rPr>
                <w:rFonts w:ascii="Arial" w:hAnsi="Arial"/>
                <w:b w:val="0"/>
                <w:i w:val="0"/>
                <w:sz w:val="18"/>
              </w:rPr>
              <w:t>Actuarial estimates consistent with: (a) paid claims trend; (b) industry loss ratios; (c) IRDAI actuarial returns filed. No material inconsistencies noted.</w:t>
            </w:r>
          </w:p>
        </w:tc>
      </w:tr>
      <w:tr>
        <w:tc>
          <w:tcPr>
            <w:tcW w:type="dxa" w:w="4535"/>
            <w:vAlign w:val="top"/>
          </w:tcPr>
          <w:p>
            <w:pPr>
              <w:jc w:val="left"/>
            </w:pPr>
            <w:r>
              <w:rPr>
                <w:rFonts w:ascii="Arial" w:hAnsi="Arial"/>
                <w:b w:val="0"/>
                <w:i w:val="0"/>
                <w:sz w:val="18"/>
              </w:rPr>
              <w:t>Considered potential management bias in assumptions provided to the actuary</w:t>
            </w:r>
          </w:p>
        </w:tc>
        <w:tc>
          <w:tcPr>
            <w:tcW w:type="dxa" w:w="6803"/>
            <w:vAlign w:val="top"/>
          </w:tcPr>
          <w:p>
            <w:pPr>
              <w:jc w:val="left"/>
            </w:pPr>
            <w:r>
              <w:rPr>
                <w:rFonts w:ascii="Arial" w:hAnsi="Arial"/>
                <w:b w:val="0"/>
                <w:i w:val="0"/>
                <w:sz w:val="18"/>
              </w:rPr>
              <w:t>Data inputs to actuary traced to source systems. No evidence of management bias in premium, claims, or lapse data provided to the actuary. [Any specific observations on assumption conservatism / optimism]</w:t>
            </w:r>
          </w:p>
        </w:tc>
      </w:tr>
    </w:tbl>
    <w:p/>
    <w:p>
      <w:pPr>
        <w:spacing w:before="160" w:after="80"/>
      </w:pPr>
      <w:r>
        <w:rPr>
          <w:rFonts w:ascii="Arial" w:hAnsi="Arial"/>
          <w:b/>
          <w:i w:val="0"/>
          <w:sz w:val="24"/>
        </w:rPr>
        <w:t>4. Our Assessment of Actuarial Work and Reliance Decision</w:t>
      </w:r>
    </w:p>
    <w:tbl>
      <w:tblPr>
        <w:tblStyle w:val="TableGrid"/>
        <w:tblW w:type="auto" w:w="0"/>
        <w:tblLook w:firstColumn="1" w:firstRow="1" w:lastColumn="0" w:lastRow="0" w:noHBand="0" w:noVBand="1" w:val="04A0"/>
      </w:tblPr>
      <w:tblGrid>
        <w:gridCol w:w="7285"/>
        <w:gridCol w:w="7285"/>
      </w:tblGrid>
      <w:tr>
        <w:tc>
          <w:tcPr>
            <w:tcW w:type="dxa" w:w="2835"/>
            <w:vAlign w:val="top"/>
            <w:shd w:val="clear" w:color="auto" w:fill="1F4E79"/>
          </w:tcPr>
          <w:p>
            <w:pPr>
              <w:jc w:val="center"/>
            </w:pPr>
            <w:r>
              <w:rPr>
                <w:rFonts w:ascii="Arial" w:hAnsi="Arial"/>
                <w:b/>
                <w:i w:val="0"/>
                <w:color w:val="FFFFFF"/>
                <w:sz w:val="18"/>
              </w:rPr>
              <w:t>Assessment</w:t>
            </w:r>
          </w:p>
        </w:tc>
        <w:tc>
          <w:tcPr>
            <w:tcW w:type="dxa" w:w="8504"/>
            <w:vAlign w:val="top"/>
            <w:shd w:val="clear" w:color="auto" w:fill="1F4E79"/>
          </w:tcPr>
          <w:p>
            <w:pPr>
              <w:jc w:val="center"/>
            </w:pPr>
            <w:r>
              <w:rPr>
                <w:rFonts w:ascii="Arial" w:hAnsi="Arial"/>
                <w:b/>
                <w:i w:val="0"/>
                <w:color w:val="FFFFFF"/>
                <w:sz w:val="18"/>
              </w:rPr>
              <w:t>Details</w:t>
            </w:r>
          </w:p>
        </w:tc>
      </w:tr>
      <w:tr>
        <w:tc>
          <w:tcPr>
            <w:tcW w:type="dxa" w:w="2835"/>
            <w:vAlign w:val="top"/>
          </w:tcPr>
          <w:p>
            <w:pPr>
              <w:jc w:val="left"/>
            </w:pPr>
            <w:r>
              <w:rPr>
                <w:rFonts w:ascii="Arial" w:hAnsi="Arial"/>
                <w:b w:val="0"/>
                <w:i w:val="0"/>
                <w:sz w:val="18"/>
              </w:rPr>
              <w:t>Reliance decision</w:t>
            </w:r>
          </w:p>
        </w:tc>
        <w:tc>
          <w:tcPr>
            <w:tcW w:type="dxa" w:w="8504"/>
            <w:vAlign w:val="top"/>
          </w:tcPr>
          <w:p>
            <w:pPr>
              <w:jc w:val="left"/>
            </w:pPr>
            <w:r>
              <w:rPr>
                <w:rFonts w:ascii="Arial" w:hAnsi="Arial"/>
                <w:b w:val="0"/>
                <w:i w:val="0"/>
                <w:sz w:val="18"/>
              </w:rPr>
              <w:t>We PLACE reliance on the Appointed Actuary's valuation for the purposes of our audit opinion on the policy liabilities, IBNR provisions, PDR, and solvency margin, subject to the following conditions:</w:t>
            </w:r>
          </w:p>
        </w:tc>
      </w:tr>
      <w:tr>
        <w:tc>
          <w:tcPr>
            <w:tcW w:type="dxa" w:w="2835"/>
            <w:vAlign w:val="top"/>
            <w:shd w:val="clear" w:color="auto" w:fill="EBF3FB"/>
          </w:tcPr>
          <w:p>
            <w:pPr>
              <w:jc w:val="left"/>
            </w:pPr>
            <w:r>
              <w:rPr>
                <w:rFonts w:ascii="Arial" w:hAnsi="Arial"/>
                <w:b w:val="0"/>
                <w:i w:val="0"/>
                <w:sz w:val="18"/>
              </w:rPr>
              <w:t>Conditions / limitations on reliance</w:t>
            </w:r>
          </w:p>
        </w:tc>
        <w:tc>
          <w:tcPr>
            <w:tcW w:type="dxa" w:w="8504"/>
            <w:vAlign w:val="top"/>
            <w:shd w:val="clear" w:color="auto" w:fill="EBF3FB"/>
          </w:tcPr>
          <w:p>
            <w:pPr>
              <w:jc w:val="left"/>
            </w:pPr>
            <w:r>
              <w:rPr>
                <w:rFonts w:ascii="Arial" w:hAnsi="Arial"/>
                <w:b w:val="0"/>
                <w:i w:val="0"/>
                <w:sz w:val="18"/>
              </w:rPr>
              <w:t>1. Data accuracy confirmed by us independently.</w:t>
              <w:br/>
              <w:t>2. Methodology is consistent with actuarial practice standards.</w:t>
              <w:br/>
              <w:t>3. Results are consistent with other audit evidence.</w:t>
              <w:br/>
              <w:t>4. Sensitivity range is acceptable — a change of ±10% in the key assumptions does not create a material misstatement.</w:t>
            </w:r>
          </w:p>
        </w:tc>
      </w:tr>
      <w:tr>
        <w:tc>
          <w:tcPr>
            <w:tcW w:type="dxa" w:w="2835"/>
            <w:vAlign w:val="top"/>
          </w:tcPr>
          <w:p>
            <w:pPr>
              <w:jc w:val="left"/>
            </w:pPr>
            <w:r>
              <w:rPr>
                <w:rFonts w:ascii="Arial" w:hAnsi="Arial"/>
                <w:b w:val="0"/>
                <w:i w:val="0"/>
                <w:sz w:val="18"/>
              </w:rPr>
              <w:t>Matters affecting reliance (if any)</w:t>
            </w:r>
          </w:p>
        </w:tc>
        <w:tc>
          <w:tcPr>
            <w:tcW w:type="dxa" w:w="8504"/>
            <w:vAlign w:val="top"/>
          </w:tcPr>
          <w:p>
            <w:pPr>
              <w:jc w:val="left"/>
            </w:pPr>
            <w:r>
              <w:rPr>
                <w:rFonts w:ascii="Arial" w:hAnsi="Arial"/>
                <w:b w:val="0"/>
                <w:i w:val="0"/>
                <w:sz w:val="18"/>
              </w:rPr>
              <w:t>[NIL / Specific matters — e.g., thin data for a new line of business, unusual claims development year, COVID-19 overlay applied — documented below]</w:t>
            </w:r>
          </w:p>
        </w:tc>
      </w:tr>
      <w:tr>
        <w:tc>
          <w:tcPr>
            <w:tcW w:type="dxa" w:w="2835"/>
            <w:vAlign w:val="top"/>
            <w:shd w:val="clear" w:color="auto" w:fill="EBF3FB"/>
          </w:tcPr>
          <w:p>
            <w:pPr>
              <w:jc w:val="left"/>
            </w:pPr>
            <w:r>
              <w:rPr>
                <w:rFonts w:ascii="Arial" w:hAnsi="Arial"/>
                <w:b w:val="0"/>
                <w:i w:val="0"/>
                <w:sz w:val="18"/>
              </w:rPr>
              <w:t>Impact on audit report</w:t>
            </w:r>
          </w:p>
        </w:tc>
        <w:tc>
          <w:tcPr>
            <w:tcW w:type="dxa" w:w="8504"/>
            <w:vAlign w:val="top"/>
            <w:shd w:val="clear" w:color="auto" w:fill="EBF3FB"/>
          </w:tcPr>
          <w:p>
            <w:pPr>
              <w:jc w:val="left"/>
            </w:pPr>
            <w:r>
              <w:rPr>
                <w:rFonts w:ascii="Arial" w:hAnsi="Arial"/>
                <w:b w:val="0"/>
                <w:i w:val="0"/>
                <w:sz w:val="18"/>
              </w:rPr>
              <w:t>No modification to our audit opinion arising from actuarial matters. [OR: We have included an Emphasis of Matter paragraph relating to uncertainty in actuarial estimates — refer IN.RPT.01]</w:t>
            </w:r>
          </w:p>
        </w:tc>
      </w:tr>
    </w:tbl>
    <w:p/>
    <w:p>
      <w:pPr>
        <w:spacing w:before="160" w:after="80"/>
      </w:pPr>
      <w:r>
        <w:rPr>
          <w:rFonts w:ascii="Arial" w:hAnsi="Arial"/>
          <w:b/>
          <w:i w:val="0"/>
          <w:sz w:val="24"/>
        </w:rPr>
        <w:t>5. Conclusion</w:t>
      </w:r>
    </w:p>
    <w:p>
      <w:pPr>
        <w:spacing w:before="80" w:after="80"/>
        <w:jc w:val="left"/>
      </w:pPr>
      <w:r>
        <w:rPr>
          <w:rFonts w:ascii="Arial" w:hAnsi="Arial"/>
          <w:b w:val="0"/>
          <w:i w:val="0"/>
          <w:sz w:val="20"/>
        </w:rPr>
        <w:t>Based on the procedures performed above and our assessment of the competence, capabilities, and objectivity of the Appointed Actuary, we are satisfied that the actuarial work is adequate for the purposes of our audit. The policy liabilities of ₹[XX] crore, IBNR provisions of ₹[XX] crore, and Required Solvency Margin of ₹[XX] crore have been incorporated into the financial statements on the basis of the Appointed Actuary's certificate and are reflected in our audit opinion.</w:t>
      </w:r>
    </w:p>
    <w:p>
      <w:pPr>
        <w:spacing w:before="80" w:after="80"/>
        <w:jc w:val="left"/>
      </w:pPr>
      <w:r>
        <w:rPr>
          <w:rFonts w:ascii="Arial" w:hAnsi="Arial"/>
          <w:b w:val="0"/>
          <w:i w:val="0"/>
          <w:sz w:val="20"/>
        </w:rPr>
        <w:t>Prepared by: [Name / Designation]   |   Date: [DD.MM.YYYY]</w:t>
      </w:r>
    </w:p>
    <w:p>
      <w:pPr>
        <w:spacing w:before="80" w:after="80"/>
        <w:jc w:val="left"/>
      </w:pPr>
      <w:r>
        <w:rPr>
          <w:rFonts w:ascii="Arial" w:hAnsi="Arial"/>
          <w:b w:val="0"/>
          <w:i w:val="0"/>
          <w:sz w:val="20"/>
        </w:rPr>
        <w:t>Reviewed by: [Name / Designation]   |   Date: [DD.MM.YYYY]</w:t>
      </w:r>
    </w:p>
    <w:p>
      <w:pPr>
        <w:spacing w:before="80" w:after="80"/>
        <w:jc w:val="left"/>
      </w:pPr>
      <w:r>
        <w:rPr>
          <w:rFonts w:ascii="Arial" w:hAnsi="Arial"/>
          <w:b w:val="0"/>
          <w:i w:val="0"/>
          <w:sz w:val="20"/>
        </w:rPr>
        <w:t>Partner Sign-off: [Name]             |   Date: [DD.MM.YYYY]</w:t>
      </w:r>
    </w:p>
    <w:sectPr w:rsidR="00FC693F" w:rsidRPr="0006063C" w:rsidSect="00034616">
      <w:headerReference w:type="default" r:id="rId9"/>
      <w:pgSz w:w="16838" w:h="11906"/>
      <w:pgMar w:top="113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Style w:val="TableGrid"/>
      <w:tblW w:type="auto" w:w="0"/>
      <w:tblLook w:firstColumn="1" w:firstRow="1" w:lastColumn="0" w:lastRow="0" w:noHBand="0" w:noVBand="1" w:val="04A0"/>
    </w:tblPr>
    <w:tblGrid>
      <w:gridCol w:w="7285"/>
      <w:gridCol w:w="7285"/>
    </w:tblGrid>
    <w:tr>
      <w:tc>
        <w:tcPr>
          <w:tcW w:type="dxa" w:w="7285"/>
          <w:tcBorders>
            <w:top w:val="none"/>
            <w:left w:val="none"/>
            <w:bottom w:val="none"/>
            <w:right w:val="none"/>
          </w:tcBorders>
        </w:tcPr>
        <w:p>
          <w:r>
            <w:rPr>
              <w:rFonts w:ascii="Arial" w:hAnsi="Arial"/>
              <w:b w:val="0"/>
              <w:i w:val="0"/>
              <w:sz w:val="16"/>
            </w:rPr>
            <w:t>[Client Name] | Varma &amp; Varma</w:t>
          </w:r>
        </w:p>
      </w:tc>
      <w:tc>
        <w:tcPr>
          <w:tcW w:type="dxa" w:w="7285"/>
          <w:tcBorders>
            <w:top w:val="none"/>
            <w:left w:val="none"/>
            <w:bottom w:val="none"/>
            <w:right w:val="none"/>
          </w:tcBorders>
        </w:tcPr>
        <w:p>
          <w:pPr>
            <w:jc w:val="right"/>
          </w:pPr>
          <w:r>
            <w:rPr>
              <w:rFonts w:ascii="Arial" w:hAnsi="Arial"/>
              <w:b w:val="0"/>
              <w:i w:val="0"/>
              <w:sz w:val="16"/>
            </w:rPr>
            <w:t>SA 620 — Actuarial Expert Reliance — Insurance</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5E7910557F1DE4C91A691C09C7EA83D" ma:contentTypeVersion="4" ma:contentTypeDescription="Create a new document." ma:contentTypeScope="" ma:versionID="8b73a0bc7003658bab3f23da5945ddcb">
  <xsd:schema xmlns:xsd="http://www.w3.org/2001/XMLSchema" xmlns:xs="http://www.w3.org/2001/XMLSchema" xmlns:p="http://schemas.microsoft.com/office/2006/metadata/properties" xmlns:ns2="03f3f4d6-3d69-4648-a89a-6f8e492ac738" targetNamespace="http://schemas.microsoft.com/office/2006/metadata/properties" ma:root="true" ma:fieldsID="b054d4809f6fdc5a8fe18ec980977459" ns2:_="">
    <xsd:import namespace="03f3f4d6-3d69-4648-a89a-6f8e492ac7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3f3f4d6-3d69-4648-a89a-6f8e492ac73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EB0D123-2171-4044-BE94-1BD5897F913E}"/>
</file>

<file path=customXml/itemProps3.xml><?xml version="1.0" encoding="utf-8"?>
<ds:datastoreItem xmlns:ds="http://schemas.openxmlformats.org/officeDocument/2006/customXml" ds:itemID="{70C79E9E-6A73-494C-8439-5BE0AB46EAA2}"/>
</file>

<file path=customXml/itemProps4.xml><?xml version="1.0" encoding="utf-8"?>
<ds:datastoreItem xmlns:ds="http://schemas.openxmlformats.org/officeDocument/2006/customXml" ds:itemID="{7A15F128-2AAB-4235-8A4A-1331BFB0A3A3}"/>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0x01010005E7910557F1DE4C91A691C09C7EA83D</vt:lpwstr>
  </property>
</Properties>
</file>