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ON SOLVENCY MARGIN</w:t>
      </w:r>
    </w:p>
    <w:p>
      <w:pPr>
        <w:spacing w:before="80" w:after="80"/>
        <w:jc w:val="center"/>
      </w:pPr>
      <w:r>
        <w:rPr>
          <w:rFonts w:ascii="Arial" w:hAnsi="Arial"/>
          <w:b w:val="0"/>
          <w:i/>
          <w:sz w:val="18"/>
        </w:rPr>
        <w:t>In terms of Section 64VA of the Insurance Act, 1938 read with</w:t>
        <w:br/>
        <w:t>IRDAI (Assets, Liabilities and Solvency Margin of Life Insurance Business) Regulations, 2000 / IRDAI (Assets, Liabilities and Solvency Margin of General Insurance Business) Regulations, 2016 — as applicable</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Insurance Company]</w:t>
      </w:r>
    </w:p>
    <w:p/>
    <w:p>
      <w:pPr>
        <w:spacing w:before="80" w:after="80"/>
        <w:jc w:val="left"/>
      </w:pPr>
      <w:r>
        <w:rPr>
          <w:rFonts w:ascii="Arial" w:hAnsi="Arial"/>
          <w:b w:val="0"/>
          <w:i w:val="0"/>
          <w:sz w:val="20"/>
        </w:rPr>
        <w:t>We, [Name of Audit Firm], Chartered Accountants (FRN: [XXXXXX]W), the Statutory Auditors of [Name of the Insurance Company] ('the Company'), have reviewed the solvency margin computation prepared by the management of the Company and certified by the Appointed Actuary, [Name of Appointed Actuary] (FIAI — Membership No. [XXXXX]), for the year ended 31st March 20XX.</w:t>
      </w:r>
    </w:p>
    <w:p/>
    <w:p>
      <w:pPr>
        <w:spacing w:before="160" w:after="80"/>
      </w:pPr>
      <w:r>
        <w:rPr>
          <w:rFonts w:ascii="Arial" w:hAnsi="Arial"/>
          <w:b/>
          <w:i w:val="0"/>
          <w:sz w:val="24"/>
        </w:rPr>
        <w:t>I. Available Solvency Margin (ASM)</w:t>
      </w:r>
    </w:p>
    <w:tbl>
      <w:tblPr>
        <w:tblStyle w:val="TableGrid"/>
        <w:tblW w:type="auto" w:w="0"/>
        <w:tblLook w:firstColumn="1" w:firstRow="1" w:lastColumn="0" w:lastRow="0" w:noHBand="0" w:noVBand="1" w:val="04A0"/>
      </w:tblPr>
      <w:tblGrid>
        <w:gridCol w:w="3642"/>
        <w:gridCol w:w="3642"/>
        <w:gridCol w:w="3642"/>
        <w:gridCol w:w="3642"/>
      </w:tblGrid>
      <w:tr>
        <w:tc>
          <w:tcPr>
            <w:tcW w:type="dxa" w:w="4535"/>
            <w:vAlign w:val="top"/>
            <w:shd w:val="clear" w:color="auto" w:fill="1F4E79"/>
          </w:tcPr>
          <w:p>
            <w:pPr>
              <w:jc w:val="center"/>
            </w:pPr>
            <w:r>
              <w:rPr>
                <w:rFonts w:ascii="Arial" w:hAnsi="Arial"/>
                <w:b/>
                <w:i w:val="0"/>
                <w:color w:val="FFFFFF"/>
                <w:sz w:val="18"/>
              </w:rPr>
              <w:t>Component</w:t>
            </w:r>
          </w:p>
        </w:tc>
        <w:tc>
          <w:tcPr>
            <w:tcW w:type="dxa" w:w="2268"/>
            <w:vAlign w:val="top"/>
            <w:shd w:val="clear" w:color="auto" w:fill="1F4E79"/>
          </w:tcPr>
          <w:p>
            <w:pPr>
              <w:jc w:val="center"/>
            </w:pPr>
            <w:r>
              <w:rPr>
                <w:rFonts w:ascii="Arial" w:hAnsi="Arial"/>
                <w:b/>
                <w:i w:val="0"/>
                <w:color w:val="FFFFFF"/>
                <w:sz w:val="18"/>
              </w:rPr>
              <w:t>Life (₹ Lakh)</w:t>
            </w:r>
          </w:p>
        </w:tc>
        <w:tc>
          <w:tcPr>
            <w:tcW w:type="dxa" w:w="2268"/>
            <w:vAlign w:val="top"/>
            <w:shd w:val="clear" w:color="auto" w:fill="1F4E79"/>
          </w:tcPr>
          <w:p>
            <w:pPr>
              <w:jc w:val="center"/>
            </w:pPr>
            <w:r>
              <w:rPr>
                <w:rFonts w:ascii="Arial" w:hAnsi="Arial"/>
                <w:b/>
                <w:i w:val="0"/>
                <w:color w:val="FFFFFF"/>
                <w:sz w:val="18"/>
              </w:rPr>
              <w:t>General (₹ Lakh)</w:t>
            </w:r>
          </w:p>
        </w:tc>
        <w:tc>
          <w:tcPr>
            <w:tcW w:type="dxa" w:w="2268"/>
            <w:vAlign w:val="top"/>
            <w:shd w:val="clear" w:color="auto" w:fill="1F4E79"/>
          </w:tcPr>
          <w:p>
            <w:pPr>
              <w:jc w:val="center"/>
            </w:pPr>
            <w:r>
              <w:rPr>
                <w:rFonts w:ascii="Arial" w:hAnsi="Arial"/>
                <w:b/>
                <w:i w:val="0"/>
                <w:color w:val="FFFFFF"/>
                <w:sz w:val="18"/>
              </w:rPr>
              <w:t>Notes</w:t>
            </w:r>
          </w:p>
        </w:tc>
      </w:tr>
      <w:tr>
        <w:tc>
          <w:tcPr>
            <w:tcW w:type="dxa" w:w="4535"/>
            <w:vAlign w:val="top"/>
          </w:tcPr>
          <w:p>
            <w:pPr>
              <w:jc w:val="left"/>
            </w:pPr>
            <w:r>
              <w:rPr>
                <w:rFonts w:ascii="Arial" w:hAnsi="Arial"/>
                <w:b w:val="0"/>
                <w:i w:val="0"/>
                <w:sz w:val="18"/>
              </w:rPr>
              <w:t>Paid-up Share Capital</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Per Balance Sheet</w:t>
            </w:r>
          </w:p>
        </w:tc>
      </w:tr>
      <w:tr>
        <w:tc>
          <w:tcPr>
            <w:tcW w:type="dxa" w:w="4535"/>
            <w:vAlign w:val="top"/>
            <w:shd w:val="clear" w:color="auto" w:fill="EBF3FB"/>
          </w:tcPr>
          <w:p>
            <w:pPr>
              <w:jc w:val="left"/>
            </w:pPr>
            <w:r>
              <w:rPr>
                <w:rFonts w:ascii="Arial" w:hAnsi="Arial"/>
                <w:b w:val="0"/>
                <w:i w:val="0"/>
                <w:sz w:val="18"/>
              </w:rPr>
              <w:t>Free Reserves (excluding Revaluation Reserve)</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Surplus in Policyholders' Account (after appropriation)</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N.A.</w:t>
            </w:r>
          </w:p>
        </w:tc>
        <w:tc>
          <w:tcPr>
            <w:tcW w:type="dxa" w:w="2268"/>
            <w:vAlign w:val="top"/>
          </w:tcPr>
          <w:p>
            <w:pPr>
              <w:jc w:val="left"/>
            </w:pPr>
            <w:r>
              <w:rPr>
                <w:rFonts w:ascii="Arial" w:hAnsi="Arial"/>
                <w:b w:val="0"/>
                <w:i w:val="0"/>
                <w:sz w:val="18"/>
              </w:rPr>
              <w:t>Life only</w:t>
            </w:r>
          </w:p>
        </w:tc>
      </w:tr>
      <w:tr>
        <w:tc>
          <w:tcPr>
            <w:tcW w:type="dxa" w:w="4535"/>
            <w:vAlign w:val="top"/>
            <w:shd w:val="clear" w:color="auto" w:fill="EBF3FB"/>
          </w:tcPr>
          <w:p>
            <w:pPr>
              <w:jc w:val="left"/>
            </w:pPr>
            <w:r>
              <w:rPr>
                <w:rFonts w:ascii="Arial" w:hAnsi="Arial"/>
                <w:b w:val="0"/>
                <w:i w:val="0"/>
                <w:sz w:val="18"/>
              </w:rPr>
              <w:t>Investment Fluctuation Reserve</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Less: Deferred Tax Assets (net)</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Deducted per regulations</w:t>
            </w:r>
          </w:p>
        </w:tc>
      </w:tr>
      <w:tr>
        <w:tc>
          <w:tcPr>
            <w:tcW w:type="dxa" w:w="4535"/>
            <w:vAlign w:val="top"/>
            <w:shd w:val="clear" w:color="auto" w:fill="EBF3FB"/>
          </w:tcPr>
          <w:p>
            <w:pPr>
              <w:jc w:val="left"/>
            </w:pPr>
            <w:r>
              <w:rPr>
                <w:rFonts w:ascii="Arial" w:hAnsi="Arial"/>
                <w:b w:val="0"/>
                <w:i w:val="0"/>
                <w:sz w:val="18"/>
              </w:rPr>
              <w:t>Less: Intangible Assets / Goodwill</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Less: Deficit / Accumulated Losses</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r>
          </w:p>
        </w:tc>
      </w:tr>
      <w:tr>
        <w:tc>
          <w:tcPr>
            <w:tcW w:type="dxa" w:w="4535"/>
            <w:vAlign w:val="top"/>
            <w:shd w:val="clear" w:color="auto" w:fill="EBF3FB"/>
          </w:tcPr>
          <w:p>
            <w:pPr>
              <w:jc w:val="left"/>
            </w:pPr>
            <w:r>
              <w:rPr>
                <w:rFonts w:ascii="Arial" w:hAnsi="Arial"/>
                <w:b w:val="0"/>
                <w:i w:val="0"/>
                <w:sz w:val="18"/>
              </w:rPr>
              <w:t>AVAILABLE SOLVENCY MARGIN (ASM)</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r>
          </w:p>
        </w:tc>
      </w:tr>
    </w:tbl>
    <w:p/>
    <w:p>
      <w:pPr>
        <w:spacing w:before="160" w:after="80"/>
      </w:pPr>
      <w:r>
        <w:rPr>
          <w:rFonts w:ascii="Arial" w:hAnsi="Arial"/>
          <w:b/>
          <w:i w:val="0"/>
          <w:sz w:val="24"/>
        </w:rPr>
        <w:t>II. Required Solvency Margin (RSM) — Life Insurance</w:t>
      </w:r>
    </w:p>
    <w:tbl>
      <w:tblPr>
        <w:tblStyle w:val="TableGrid"/>
        <w:tblW w:type="auto" w:w="0"/>
        <w:tblLook w:firstColumn="1" w:firstRow="1" w:lastColumn="0" w:lastRow="0" w:noHBand="0" w:noVBand="1" w:val="04A0"/>
      </w:tblPr>
      <w:tblGrid>
        <w:gridCol w:w="4857"/>
        <w:gridCol w:w="4857"/>
        <w:gridCol w:w="4857"/>
      </w:tblGrid>
      <w:tr>
        <w:tc>
          <w:tcPr>
            <w:tcW w:type="dxa" w:w="5102"/>
            <w:vAlign w:val="top"/>
            <w:shd w:val="clear" w:color="auto" w:fill="1F4E79"/>
          </w:tcPr>
          <w:p>
            <w:pPr>
              <w:jc w:val="center"/>
            </w:pPr>
            <w:r>
              <w:rPr>
                <w:rFonts w:ascii="Arial" w:hAnsi="Arial"/>
                <w:b/>
                <w:i w:val="0"/>
                <w:color w:val="FFFFFF"/>
                <w:sz w:val="18"/>
              </w:rPr>
              <w:t>Component / Risk Factor</w:t>
            </w:r>
          </w:p>
        </w:tc>
        <w:tc>
          <w:tcPr>
            <w:tcW w:type="dxa" w:w="2268"/>
            <w:vAlign w:val="top"/>
            <w:shd w:val="clear" w:color="auto" w:fill="1F4E79"/>
          </w:tcPr>
          <w:p>
            <w:pPr>
              <w:jc w:val="center"/>
            </w:pPr>
            <w:r>
              <w:rPr>
                <w:rFonts w:ascii="Arial" w:hAnsi="Arial"/>
                <w:b/>
                <w:i w:val="0"/>
                <w:color w:val="FFFFFF"/>
                <w:sz w:val="18"/>
              </w:rPr>
              <w:t>Amount (₹ Lakh)</w:t>
            </w:r>
          </w:p>
        </w:tc>
        <w:tc>
          <w:tcPr>
            <w:tcW w:type="dxa" w:w="3969"/>
            <w:vAlign w:val="top"/>
            <w:shd w:val="clear" w:color="auto" w:fill="1F4E79"/>
          </w:tcPr>
          <w:p>
            <w:pPr>
              <w:jc w:val="center"/>
            </w:pPr>
            <w:r>
              <w:rPr>
                <w:rFonts w:ascii="Arial" w:hAnsi="Arial"/>
                <w:b/>
                <w:i w:val="0"/>
                <w:color w:val="FFFFFF"/>
                <w:sz w:val="18"/>
              </w:rPr>
              <w:t>Basis</w:t>
            </w:r>
          </w:p>
        </w:tc>
      </w:tr>
      <w:tr>
        <w:tc>
          <w:tcPr>
            <w:tcW w:type="dxa" w:w="5102"/>
            <w:vAlign w:val="top"/>
          </w:tcPr>
          <w:p>
            <w:pPr>
              <w:jc w:val="left"/>
            </w:pPr>
            <w:r>
              <w:rPr>
                <w:rFonts w:ascii="Arial" w:hAnsi="Arial"/>
                <w:b w:val="0"/>
                <w:i w:val="0"/>
                <w:sz w:val="18"/>
              </w:rPr>
              <w:t>Factor 1 — Mathematical Reserves (0.5% of reserves)</w:t>
            </w:r>
          </w:p>
        </w:tc>
        <w:tc>
          <w:tcPr>
            <w:tcW w:type="dxa" w:w="2268"/>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t>0.5% of gross mathematical reserves / 0.1% of Unit Linked reserves</w:t>
            </w:r>
          </w:p>
        </w:tc>
      </w:tr>
      <w:tr>
        <w:tc>
          <w:tcPr>
            <w:tcW w:type="dxa" w:w="5102"/>
            <w:vAlign w:val="top"/>
            <w:shd w:val="clear" w:color="auto" w:fill="EBF3FB"/>
          </w:tcPr>
          <w:p>
            <w:pPr>
              <w:jc w:val="left"/>
            </w:pPr>
            <w:r>
              <w:rPr>
                <w:rFonts w:ascii="Arial" w:hAnsi="Arial"/>
                <w:b w:val="0"/>
                <w:i w:val="0"/>
                <w:sz w:val="18"/>
              </w:rPr>
              <w:t>Factor 2 — Sum at Risk (0.1% of capital at risk for non-linked)</w:t>
            </w:r>
          </w:p>
        </w:tc>
        <w:tc>
          <w:tcPr>
            <w:tcW w:type="dxa" w:w="2268"/>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t>0.1% of net sum at risk for death benefits</w:t>
            </w:r>
          </w:p>
        </w:tc>
      </w:tr>
      <w:tr>
        <w:tc>
          <w:tcPr>
            <w:tcW w:type="dxa" w:w="5102"/>
            <w:vAlign w:val="top"/>
          </w:tcPr>
          <w:p>
            <w:pPr>
              <w:jc w:val="left"/>
            </w:pPr>
            <w:r>
              <w:rPr>
                <w:rFonts w:ascii="Arial" w:hAnsi="Arial"/>
                <w:b w:val="0"/>
                <w:i w:val="0"/>
                <w:sz w:val="18"/>
              </w:rPr>
              <w:t>RSM (Higher of Factor 1 and Factor 2)</w:t>
            </w:r>
          </w:p>
        </w:tc>
        <w:tc>
          <w:tcPr>
            <w:tcW w:type="dxa" w:w="2268"/>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r>
          </w:p>
        </w:tc>
      </w:tr>
      <w:tr>
        <w:tc>
          <w:tcPr>
            <w:tcW w:type="dxa" w:w="5102"/>
            <w:vAlign w:val="top"/>
            <w:shd w:val="clear" w:color="auto" w:fill="EBF3FB"/>
          </w:tcPr>
          <w:p>
            <w:pPr>
              <w:jc w:val="left"/>
            </w:pPr>
            <w:r>
              <w:rPr>
                <w:rFonts w:ascii="Arial" w:hAnsi="Arial"/>
                <w:b w:val="0"/>
                <w:i w:val="0"/>
                <w:sz w:val="18"/>
              </w:rPr>
              <w:t>Minimum RSM</w:t>
            </w:r>
          </w:p>
        </w:tc>
        <w:tc>
          <w:tcPr>
            <w:tcW w:type="dxa" w:w="2268"/>
            <w:vAlign w:val="top"/>
            <w:shd w:val="clear" w:color="auto" w:fill="EBF3FB"/>
          </w:tcPr>
          <w:p>
            <w:pPr>
              <w:jc w:val="left"/>
            </w:pPr>
            <w:r>
              <w:rPr>
                <w:rFonts w:ascii="Arial" w:hAnsi="Arial"/>
                <w:b w:val="0"/>
                <w:i w:val="0"/>
                <w:sz w:val="18"/>
              </w:rPr>
              <w:t>₹5,000 lakh</w:t>
            </w:r>
          </w:p>
        </w:tc>
        <w:tc>
          <w:tcPr>
            <w:tcW w:type="dxa" w:w="3969"/>
            <w:vAlign w:val="top"/>
            <w:shd w:val="clear" w:color="auto" w:fill="EBF3FB"/>
          </w:tcPr>
          <w:p>
            <w:pPr>
              <w:jc w:val="left"/>
            </w:pPr>
            <w:r>
              <w:rPr>
                <w:rFonts w:ascii="Arial" w:hAnsi="Arial"/>
                <w:b w:val="0"/>
                <w:i w:val="0"/>
                <w:sz w:val="18"/>
              </w:rPr>
              <w:t>As per regulation</w:t>
            </w:r>
          </w:p>
        </w:tc>
      </w:tr>
      <w:tr>
        <w:tc>
          <w:tcPr>
            <w:tcW w:type="dxa" w:w="5102"/>
            <w:vAlign w:val="top"/>
          </w:tcPr>
          <w:p>
            <w:pPr>
              <w:jc w:val="left"/>
            </w:pPr>
            <w:r>
              <w:rPr>
                <w:rFonts w:ascii="Arial" w:hAnsi="Arial"/>
                <w:b w:val="0"/>
                <w:i w:val="0"/>
                <w:sz w:val="18"/>
              </w:rPr>
              <w:t>REQUIRED SOLVENCY MARGIN (RSM)</w:t>
            </w:r>
          </w:p>
        </w:tc>
        <w:tc>
          <w:tcPr>
            <w:tcW w:type="dxa" w:w="2268"/>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t>Higher of computed RSM and regulatory minimum</w:t>
            </w:r>
          </w:p>
        </w:tc>
      </w:tr>
    </w:tbl>
    <w:p/>
    <w:p>
      <w:pPr>
        <w:spacing w:before="160" w:after="80"/>
      </w:pPr>
      <w:r>
        <w:rPr>
          <w:rFonts w:ascii="Arial" w:hAnsi="Arial"/>
          <w:b/>
          <w:i w:val="0"/>
          <w:sz w:val="24"/>
        </w:rPr>
        <w:t>III. Required Solvency Margin (RSM) — General Insurance</w:t>
      </w:r>
    </w:p>
    <w:tbl>
      <w:tblPr>
        <w:tblStyle w:val="TableGrid"/>
        <w:tblW w:type="auto" w:w="0"/>
        <w:tblLook w:firstColumn="1" w:firstRow="1" w:lastColumn="0" w:lastRow="0" w:noHBand="0" w:noVBand="1" w:val="04A0"/>
      </w:tblPr>
      <w:tblGrid>
        <w:gridCol w:w="4857"/>
        <w:gridCol w:w="4857"/>
        <w:gridCol w:w="4857"/>
      </w:tblGrid>
      <w:tr>
        <w:tc>
          <w:tcPr>
            <w:tcW w:type="dxa" w:w="5102"/>
            <w:vAlign w:val="top"/>
            <w:shd w:val="clear" w:color="auto" w:fill="1F4E79"/>
          </w:tcPr>
          <w:p>
            <w:pPr>
              <w:jc w:val="center"/>
            </w:pPr>
            <w:r>
              <w:rPr>
                <w:rFonts w:ascii="Arial" w:hAnsi="Arial"/>
                <w:b/>
                <w:i w:val="0"/>
                <w:color w:val="FFFFFF"/>
                <w:sz w:val="18"/>
              </w:rPr>
              <w:t>Component / Risk Factor</w:t>
            </w:r>
          </w:p>
        </w:tc>
        <w:tc>
          <w:tcPr>
            <w:tcW w:type="dxa" w:w="2268"/>
            <w:vAlign w:val="top"/>
            <w:shd w:val="clear" w:color="auto" w:fill="1F4E79"/>
          </w:tcPr>
          <w:p>
            <w:pPr>
              <w:jc w:val="center"/>
            </w:pPr>
            <w:r>
              <w:rPr>
                <w:rFonts w:ascii="Arial" w:hAnsi="Arial"/>
                <w:b/>
                <w:i w:val="0"/>
                <w:color w:val="FFFFFF"/>
                <w:sz w:val="18"/>
              </w:rPr>
              <w:t>Amount (₹ Lakh)</w:t>
            </w:r>
          </w:p>
        </w:tc>
        <w:tc>
          <w:tcPr>
            <w:tcW w:type="dxa" w:w="3969"/>
            <w:vAlign w:val="top"/>
            <w:shd w:val="clear" w:color="auto" w:fill="1F4E79"/>
          </w:tcPr>
          <w:p>
            <w:pPr>
              <w:jc w:val="center"/>
            </w:pPr>
            <w:r>
              <w:rPr>
                <w:rFonts w:ascii="Arial" w:hAnsi="Arial"/>
                <w:b/>
                <w:i w:val="0"/>
                <w:color w:val="FFFFFF"/>
                <w:sz w:val="18"/>
              </w:rPr>
              <w:t>Basis</w:t>
            </w:r>
          </w:p>
        </w:tc>
      </w:tr>
      <w:tr>
        <w:tc>
          <w:tcPr>
            <w:tcW w:type="dxa" w:w="5102"/>
            <w:vAlign w:val="top"/>
          </w:tcPr>
          <w:p>
            <w:pPr>
              <w:jc w:val="left"/>
            </w:pPr>
            <w:r>
              <w:rPr>
                <w:rFonts w:ascii="Arial" w:hAnsi="Arial"/>
                <w:b w:val="0"/>
                <w:i w:val="0"/>
                <w:sz w:val="18"/>
              </w:rPr>
              <w:t>Factor 1 — 20% of net premium income</w:t>
            </w:r>
          </w:p>
        </w:tc>
        <w:tc>
          <w:tcPr>
            <w:tcW w:type="dxa" w:w="2268"/>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t>20% of higher of: (a) gross premium - RI ceded; (b) net premium × (gross premium - RI ceded) / gross premium</w:t>
            </w:r>
          </w:p>
        </w:tc>
      </w:tr>
      <w:tr>
        <w:tc>
          <w:tcPr>
            <w:tcW w:type="dxa" w:w="5102"/>
            <w:vAlign w:val="top"/>
            <w:shd w:val="clear" w:color="auto" w:fill="EBF3FB"/>
          </w:tcPr>
          <w:p>
            <w:pPr>
              <w:jc w:val="left"/>
            </w:pPr>
            <w:r>
              <w:rPr>
                <w:rFonts w:ascii="Arial" w:hAnsi="Arial"/>
                <w:b w:val="0"/>
                <w:i w:val="0"/>
                <w:sz w:val="18"/>
              </w:rPr>
              <w:t>Factor 2 — 30% of net incurred claims</w:t>
            </w:r>
          </w:p>
        </w:tc>
        <w:tc>
          <w:tcPr>
            <w:tcW w:type="dxa" w:w="2268"/>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t>30% × (average of last 3 years' net incurred claims) × (net incurred claims / gross incurred claims for last 3 years)</w:t>
            </w:r>
          </w:p>
        </w:tc>
      </w:tr>
      <w:tr>
        <w:tc>
          <w:tcPr>
            <w:tcW w:type="dxa" w:w="5102"/>
            <w:vAlign w:val="top"/>
          </w:tcPr>
          <w:p>
            <w:pPr>
              <w:jc w:val="left"/>
            </w:pPr>
            <w:r>
              <w:rPr>
                <w:rFonts w:ascii="Arial" w:hAnsi="Arial"/>
                <w:b w:val="0"/>
                <w:i w:val="0"/>
                <w:sz w:val="18"/>
              </w:rPr>
              <w:t>REQUIRED SOLVENCY MARGIN (RSM)</w:t>
            </w:r>
          </w:p>
        </w:tc>
        <w:tc>
          <w:tcPr>
            <w:tcW w:type="dxa" w:w="2268"/>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t>Higher of Factor 1 and Factor 2 (minimum ₹5,000 lakh)</w:t>
            </w:r>
          </w:p>
        </w:tc>
      </w:tr>
    </w:tbl>
    <w:p/>
    <w:p>
      <w:pPr>
        <w:spacing w:before="160" w:after="80"/>
      </w:pPr>
      <w:r>
        <w:rPr>
          <w:rFonts w:ascii="Arial" w:hAnsi="Arial"/>
          <w:b/>
          <w:i w:val="0"/>
          <w:sz w:val="24"/>
        </w:rPr>
        <w:t>IV. Solvency Ratio</w:t>
      </w:r>
    </w:p>
    <w:tbl>
      <w:tblPr>
        <w:tblStyle w:val="TableGrid"/>
        <w:tblW w:type="auto" w:w="0"/>
        <w:tblLook w:firstColumn="1" w:firstRow="1" w:lastColumn="0" w:lastRow="0" w:noHBand="0" w:noVBand="1" w:val="04A0"/>
      </w:tblPr>
      <w:tblGrid>
        <w:gridCol w:w="4857"/>
        <w:gridCol w:w="4857"/>
        <w:gridCol w:w="4857"/>
      </w:tblGrid>
      <w:tr>
        <w:tc>
          <w:tcPr>
            <w:tcW w:type="dxa" w:w="4535"/>
            <w:vAlign w:val="top"/>
            <w:shd w:val="clear" w:color="auto" w:fill="1F4E79"/>
          </w:tcPr>
          <w:p>
            <w:pPr>
              <w:jc w:val="center"/>
            </w:pPr>
            <w:r>
              <w:rPr>
                <w:rFonts w:ascii="Arial" w:hAnsi="Arial"/>
                <w:b/>
                <w:i w:val="0"/>
                <w:color w:val="FFFFFF"/>
                <w:sz w:val="18"/>
              </w:rPr>
              <w:t>Metric</w:t>
            </w:r>
          </w:p>
        </w:tc>
        <w:tc>
          <w:tcPr>
            <w:tcW w:type="dxa" w:w="3402"/>
            <w:vAlign w:val="top"/>
            <w:shd w:val="clear" w:color="auto" w:fill="1F4E79"/>
          </w:tcPr>
          <w:p>
            <w:pPr>
              <w:jc w:val="center"/>
            </w:pPr>
            <w:r>
              <w:rPr>
                <w:rFonts w:ascii="Arial" w:hAnsi="Arial"/>
                <w:b/>
                <w:i w:val="0"/>
                <w:color w:val="FFFFFF"/>
                <w:sz w:val="18"/>
              </w:rPr>
              <w:t>Life</w:t>
            </w:r>
          </w:p>
        </w:tc>
        <w:tc>
          <w:tcPr>
            <w:tcW w:type="dxa" w:w="3402"/>
            <w:vAlign w:val="top"/>
            <w:shd w:val="clear" w:color="auto" w:fill="1F4E79"/>
          </w:tcPr>
          <w:p>
            <w:pPr>
              <w:jc w:val="center"/>
            </w:pPr>
            <w:r>
              <w:rPr>
                <w:rFonts w:ascii="Arial" w:hAnsi="Arial"/>
                <w:b/>
                <w:i w:val="0"/>
                <w:color w:val="FFFFFF"/>
                <w:sz w:val="18"/>
              </w:rPr>
              <w:t>General</w:t>
            </w:r>
          </w:p>
        </w:tc>
      </w:tr>
      <w:tr>
        <w:tc>
          <w:tcPr>
            <w:tcW w:type="dxa" w:w="4535"/>
            <w:vAlign w:val="top"/>
          </w:tcPr>
          <w:p>
            <w:pPr>
              <w:jc w:val="left"/>
            </w:pPr>
            <w:r>
              <w:rPr>
                <w:rFonts w:ascii="Arial" w:hAnsi="Arial"/>
                <w:b w:val="0"/>
                <w:i w:val="0"/>
                <w:sz w:val="18"/>
              </w:rPr>
              <w:t>Available Solvency Margin (ASM)</w:t>
            </w:r>
          </w:p>
        </w:tc>
        <w:tc>
          <w:tcPr>
            <w:tcW w:type="dxa" w:w="3402"/>
            <w:vAlign w:val="top"/>
          </w:tcPr>
          <w:p>
            <w:pPr>
              <w:jc w:val="left"/>
            </w:pPr>
            <w:r>
              <w:rPr>
                <w:rFonts w:ascii="Arial" w:hAnsi="Arial"/>
                <w:b w:val="0"/>
                <w:i w:val="0"/>
                <w:sz w:val="18"/>
              </w:rPr>
              <w:t>₹[XX] lakh</w:t>
            </w:r>
          </w:p>
        </w:tc>
        <w:tc>
          <w:tcPr>
            <w:tcW w:type="dxa" w:w="3402"/>
            <w:vAlign w:val="top"/>
          </w:tcPr>
          <w:p>
            <w:pPr>
              <w:jc w:val="left"/>
            </w:pPr>
            <w:r>
              <w:rPr>
                <w:rFonts w:ascii="Arial" w:hAnsi="Arial"/>
                <w:b w:val="0"/>
                <w:i w:val="0"/>
                <w:sz w:val="18"/>
              </w:rPr>
              <w:t>₹[XX] lakh</w:t>
            </w:r>
          </w:p>
        </w:tc>
      </w:tr>
      <w:tr>
        <w:tc>
          <w:tcPr>
            <w:tcW w:type="dxa" w:w="4535"/>
            <w:vAlign w:val="top"/>
            <w:shd w:val="clear" w:color="auto" w:fill="EBF3FB"/>
          </w:tcPr>
          <w:p>
            <w:pPr>
              <w:jc w:val="left"/>
            </w:pPr>
            <w:r>
              <w:rPr>
                <w:rFonts w:ascii="Arial" w:hAnsi="Arial"/>
                <w:b w:val="0"/>
                <w:i w:val="0"/>
                <w:sz w:val="18"/>
              </w:rPr>
              <w:t>Required Solvency Margin (RSM)</w:t>
            </w:r>
          </w:p>
        </w:tc>
        <w:tc>
          <w:tcPr>
            <w:tcW w:type="dxa" w:w="3402"/>
            <w:vAlign w:val="top"/>
            <w:shd w:val="clear" w:color="auto" w:fill="EBF3FB"/>
          </w:tcPr>
          <w:p>
            <w:pPr>
              <w:jc w:val="left"/>
            </w:pPr>
            <w:r>
              <w:rPr>
                <w:rFonts w:ascii="Arial" w:hAnsi="Arial"/>
                <w:b w:val="0"/>
                <w:i w:val="0"/>
                <w:sz w:val="18"/>
              </w:rPr>
              <w:t>₹[XX] lakh</w:t>
            </w:r>
          </w:p>
        </w:tc>
        <w:tc>
          <w:tcPr>
            <w:tcW w:type="dxa" w:w="3402"/>
            <w:vAlign w:val="top"/>
            <w:shd w:val="clear" w:color="auto" w:fill="EBF3FB"/>
          </w:tcPr>
          <w:p>
            <w:pPr>
              <w:jc w:val="left"/>
            </w:pPr>
            <w:r>
              <w:rPr>
                <w:rFonts w:ascii="Arial" w:hAnsi="Arial"/>
                <w:b w:val="0"/>
                <w:i w:val="0"/>
                <w:sz w:val="18"/>
              </w:rPr>
              <w:t>₹[XX] lakh</w:t>
            </w:r>
          </w:p>
        </w:tc>
      </w:tr>
      <w:tr>
        <w:tc>
          <w:tcPr>
            <w:tcW w:type="dxa" w:w="4535"/>
            <w:vAlign w:val="top"/>
          </w:tcPr>
          <w:p>
            <w:pPr>
              <w:jc w:val="left"/>
            </w:pPr>
            <w:r>
              <w:rPr>
                <w:rFonts w:ascii="Arial" w:hAnsi="Arial"/>
                <w:b w:val="0"/>
                <w:i w:val="0"/>
                <w:sz w:val="18"/>
              </w:rPr>
              <w:t>Solvency Ratio (ASM / RSM)</w:t>
            </w:r>
          </w:p>
        </w:tc>
        <w:tc>
          <w:tcPr>
            <w:tcW w:type="dxa" w:w="3402"/>
            <w:vAlign w:val="top"/>
          </w:tcPr>
          <w:p>
            <w:pPr>
              <w:jc w:val="left"/>
            </w:pPr>
            <w:r>
              <w:rPr>
                <w:rFonts w:ascii="Arial" w:hAnsi="Arial"/>
                <w:b w:val="0"/>
                <w:i w:val="0"/>
                <w:sz w:val="18"/>
              </w:rPr>
              <w:t>[XX]%</w:t>
            </w:r>
          </w:p>
        </w:tc>
        <w:tc>
          <w:tcPr>
            <w:tcW w:type="dxa" w:w="3402"/>
            <w:vAlign w:val="top"/>
          </w:tcPr>
          <w:p>
            <w:pPr>
              <w:jc w:val="left"/>
            </w:pPr>
            <w:r>
              <w:rPr>
                <w:rFonts w:ascii="Arial" w:hAnsi="Arial"/>
                <w:b w:val="0"/>
                <w:i w:val="0"/>
                <w:sz w:val="18"/>
              </w:rPr>
              <w:t>[XX]%</w:t>
            </w:r>
          </w:p>
        </w:tc>
      </w:tr>
      <w:tr>
        <w:tc>
          <w:tcPr>
            <w:tcW w:type="dxa" w:w="4535"/>
            <w:vAlign w:val="top"/>
            <w:shd w:val="clear" w:color="auto" w:fill="EBF3FB"/>
          </w:tcPr>
          <w:p>
            <w:pPr>
              <w:jc w:val="left"/>
            </w:pPr>
            <w:r>
              <w:rPr>
                <w:rFonts w:ascii="Arial" w:hAnsi="Arial"/>
                <w:b w:val="0"/>
                <w:i w:val="0"/>
                <w:sz w:val="18"/>
              </w:rPr>
              <w:t>Minimum required (Section 64VA)</w:t>
            </w:r>
          </w:p>
        </w:tc>
        <w:tc>
          <w:tcPr>
            <w:tcW w:type="dxa" w:w="3402"/>
            <w:vAlign w:val="top"/>
            <w:shd w:val="clear" w:color="auto" w:fill="EBF3FB"/>
          </w:tcPr>
          <w:p>
            <w:pPr>
              <w:jc w:val="left"/>
            </w:pPr>
            <w:r>
              <w:rPr>
                <w:rFonts w:ascii="Arial" w:hAnsi="Arial"/>
                <w:b w:val="0"/>
                <w:i w:val="0"/>
                <w:sz w:val="18"/>
              </w:rPr>
              <w:t>150%</w:t>
            </w:r>
          </w:p>
        </w:tc>
        <w:tc>
          <w:tcPr>
            <w:tcW w:type="dxa" w:w="3402"/>
            <w:vAlign w:val="top"/>
            <w:shd w:val="clear" w:color="auto" w:fill="EBF3FB"/>
          </w:tcPr>
          <w:p>
            <w:pPr>
              <w:jc w:val="left"/>
            </w:pPr>
            <w:r>
              <w:rPr>
                <w:rFonts w:ascii="Arial" w:hAnsi="Arial"/>
                <w:b w:val="0"/>
                <w:i w:val="0"/>
                <w:sz w:val="18"/>
              </w:rPr>
              <w:t>150%</w:t>
            </w:r>
          </w:p>
        </w:tc>
      </w:tr>
      <w:tr>
        <w:tc>
          <w:tcPr>
            <w:tcW w:type="dxa" w:w="4535"/>
            <w:vAlign w:val="top"/>
          </w:tcPr>
          <w:p>
            <w:pPr>
              <w:jc w:val="left"/>
            </w:pPr>
            <w:r>
              <w:rPr>
                <w:rFonts w:ascii="Arial" w:hAnsi="Arial"/>
                <w:b w:val="0"/>
                <w:i w:val="0"/>
                <w:sz w:val="18"/>
              </w:rPr>
              <w:t>Status</w:t>
            </w:r>
          </w:p>
        </w:tc>
        <w:tc>
          <w:tcPr>
            <w:tcW w:type="dxa" w:w="3402"/>
            <w:vAlign w:val="top"/>
          </w:tcPr>
          <w:p>
            <w:pPr>
              <w:jc w:val="left"/>
            </w:pPr>
            <w:r>
              <w:rPr>
                <w:rFonts w:ascii="Arial" w:hAnsi="Arial"/>
                <w:b w:val="0"/>
                <w:i w:val="0"/>
                <w:sz w:val="18"/>
              </w:rPr>
              <w:t>COMPLIANT / NON-COMPLIANT</w:t>
            </w:r>
          </w:p>
        </w:tc>
        <w:tc>
          <w:tcPr>
            <w:tcW w:type="dxa" w:w="3402"/>
            <w:vAlign w:val="top"/>
          </w:tcPr>
          <w:p>
            <w:pPr>
              <w:jc w:val="left"/>
            </w:pPr>
            <w:r>
              <w:rPr>
                <w:rFonts w:ascii="Arial" w:hAnsi="Arial"/>
                <w:b w:val="0"/>
                <w:i w:val="0"/>
                <w:sz w:val="18"/>
              </w:rPr>
              <w:t>COMPLIANT / NON-COMPLIANT</w:t>
            </w:r>
          </w:p>
        </w:tc>
      </w:tr>
    </w:tbl>
    <w:p/>
    <w:p>
      <w:pPr>
        <w:spacing w:before="160" w:after="80"/>
      </w:pPr>
      <w:r>
        <w:rPr>
          <w:rFonts w:ascii="Arial" w:hAnsi="Arial"/>
          <w:b/>
          <w:i w:val="0"/>
          <w:sz w:val="24"/>
        </w:rPr>
        <w:t>V. Certification</w:t>
      </w:r>
    </w:p>
    <w:p>
      <w:pPr>
        <w:spacing w:before="80" w:after="80"/>
        <w:jc w:val="left"/>
      </w:pPr>
      <w:r>
        <w:rPr>
          <w:rFonts w:ascii="Arial" w:hAnsi="Arial"/>
          <w:b w:val="0"/>
          <w:i w:val="0"/>
          <w:sz w:val="20"/>
        </w:rPr>
        <w:t>Based on our review of the solvency computation and the certificate of the Appointed Actuary, we certify that the Solvency Ratio of [Name of the Insurance Company] as at 31st March 20XX is [XX]% (Life) / [XX]% (General), which [exceeds / does not exceed] the minimum required solvency ratio of 150% prescribed under Section 64VA of the Insurance Act, 1938.</w:t>
      </w:r>
    </w:p>
    <w:p>
      <w:pPr>
        <w:spacing w:before="80" w:after="80"/>
        <w:jc w:val="left"/>
      </w:pPr>
      <w:r>
        <w:rPr>
          <w:rFonts w:ascii="Arial" w:hAnsi="Arial"/>
          <w:b w:val="0"/>
          <w:i/>
          <w:sz w:val="18"/>
        </w:rPr>
        <w:t>This certificate is issued for submission to the IRDAI and the Board of Directors and is based on the audited financial statements for the year ended 31st March 20XX and the Appointed Actuary's certificate. Our review was limited to agreeing the ASM components to the audited balance sheet and evaluating the RSM computation methodology. We have placed reliance on the Appointed Actuary's computation of mathematical reserves and related actuarial inputs (documented in IN.RPT.03).</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Solvency Certificate — Insurance — Section 64VA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A6B9C81-6244-4772-8F8F-E794C973F572}"/>
</file>

<file path=customXml/itemProps3.xml><?xml version="1.0" encoding="utf-8"?>
<ds:datastoreItem xmlns:ds="http://schemas.openxmlformats.org/officeDocument/2006/customXml" ds:itemID="{4D978AB8-A76E-4D1E-AD7D-9A403FF2003B}"/>
</file>

<file path=customXml/itemProps4.xml><?xml version="1.0" encoding="utf-8"?>
<ds:datastoreItem xmlns:ds="http://schemas.openxmlformats.org/officeDocument/2006/customXml" ds:itemID="{F2737D14-1C85-4ACE-A303-C6E1C0CAC5E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