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CERTIFICATE UNDER SECTION 143(12) OF THE COMPANIES ACT, 2013</w:t>
      </w:r>
    </w:p>
    <w:p>
      <w:pPr>
        <w:spacing w:before="80" w:after="80"/>
        <w:jc w:val="center"/>
      </w:pPr>
      <w:r>
        <w:rPr>
          <w:rFonts w:ascii="Arial" w:hAnsi="Arial"/>
          <w:b w:val="0"/>
          <w:i/>
          <w:sz w:val="20"/>
        </w:rPr>
        <w:t>Fraud Reporting by Auditors — Report to Central Government</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Secretary,</w:t>
      </w:r>
    </w:p>
    <w:p>
      <w:pPr>
        <w:spacing w:before="80" w:after="80"/>
        <w:jc w:val="left"/>
      </w:pPr>
      <w:r>
        <w:rPr>
          <w:rFonts w:ascii="Arial" w:hAnsi="Arial"/>
          <w:b w:val="0"/>
          <w:i w:val="0"/>
          <w:sz w:val="20"/>
        </w:rPr>
        <w:t>Ministry of Corporate Affairs, Government of India.</w:t>
      </w:r>
    </w:p>
    <w:p/>
    <w:p>
      <w:pPr>
        <w:spacing w:before="80" w:after="80"/>
        <w:jc w:val="left"/>
      </w:pPr>
      <w:r>
        <w:rPr>
          <w:rFonts w:ascii="Arial" w:hAnsi="Arial"/>
          <w:b w:val="0"/>
          <w:i w:val="0"/>
          <w:sz w:val="20"/>
        </w:rPr>
        <w:t>AND</w:t>
      </w: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Insurance Company], [Registered Office Address]</w:t>
      </w:r>
    </w:p>
    <w:p/>
    <w:p>
      <w:pPr>
        <w:spacing w:before="80" w:after="80"/>
        <w:jc w:val="left"/>
      </w:pPr>
      <w:r>
        <w:rPr>
          <w:rFonts w:ascii="Arial" w:hAnsi="Arial"/>
          <w:b w:val="0"/>
          <w:i w:val="0"/>
          <w:sz w:val="20"/>
        </w:rPr>
        <w:t>CIN: [LXXXXXXXXXXXXXXX] | Statutory Audit — FY 20XX-XX | IRDAI Registration No.: [XXXX]</w:t>
      </w:r>
    </w:p>
    <w:p/>
    <w:p>
      <w:pPr>
        <w:spacing w:before="80" w:after="80"/>
        <w:jc w:val="left"/>
      </w:pPr>
      <w:r>
        <w:rPr>
          <w:rFonts w:ascii="Arial" w:hAnsi="Arial"/>
          <w:b w:val="0"/>
          <w:i w:val="0"/>
          <w:sz w:val="20"/>
        </w:rPr>
        <w:t>In terms of Section 143(12) of the Companies Act, 2013 read with Rule 13 of the Companies (Audit and Auditors) Rules, 2014, we certify as follows, based on our statutory audit for the year ended 31st March 20XX:</w:t>
      </w:r>
    </w:p>
    <w:p>
      <w:pPr>
        <w:spacing w:before="160" w:after="80"/>
      </w:pPr>
      <w:r>
        <w:rPr>
          <w:rFonts w:ascii="Arial" w:hAnsi="Arial"/>
          <w:b/>
          <w:i w:val="0"/>
          <w:sz w:val="24"/>
        </w:rPr>
        <w:t>1. Procedures Performed</w:t>
      </w:r>
    </w:p>
    <w:p>
      <w:pPr>
        <w:spacing w:before="80" w:after="80"/>
        <w:jc w:val="left"/>
      </w:pPr>
      <w:r>
        <w:rPr>
          <w:rFonts w:ascii="Arial" w:hAnsi="Arial"/>
          <w:b w:val="0"/>
          <w:i w:val="0"/>
          <w:sz w:val="20"/>
        </w:rPr>
        <w:t>Fraud-specific procedures performed during our audit include: (a) Journal Entry Testing (JET) — targeting late entries, entries to suspense accounts, manual overrides, and unusual entries in premium and claims accounts; (b) Analytical procedures on premium income by LoB; (c) Verification of related party transactions; (d) Review of surrender / lapse patterns for unusual spikes; (e) Review of management override controls including delegation of authority matrix for claims settlement; (f) IRDAI fraud reporting register reviewed for completeness.</w:t>
      </w:r>
    </w:p>
    <w:p>
      <w:pPr>
        <w:spacing w:before="160" w:after="80"/>
      </w:pPr>
      <w:r>
        <w:rPr>
          <w:rFonts w:ascii="Arial" w:hAnsi="Arial"/>
          <w:b/>
          <w:i w:val="0"/>
          <w:sz w:val="24"/>
        </w:rPr>
        <w:t>2. Frauds Detected (≥ ₹1 crore)</w:t>
      </w:r>
    </w:p>
    <w:tbl>
      <w:tblPr>
        <w:tblStyle w:val="TableGrid"/>
        <w:tblW w:type="auto" w:w="0"/>
        <w:tblLook w:firstColumn="1" w:firstRow="1" w:lastColumn="0" w:lastRow="0" w:noHBand="0" w:noVBand="1" w:val="04A0"/>
      </w:tblPr>
      <w:tblGrid>
        <w:gridCol w:w="2428"/>
        <w:gridCol w:w="2428"/>
        <w:gridCol w:w="2428"/>
        <w:gridCol w:w="2428"/>
        <w:gridCol w:w="2428"/>
        <w:gridCol w:w="2428"/>
      </w:tblGrid>
      <w:tr>
        <w:tc>
          <w:tcPr>
            <w:tcW w:type="dxa" w:w="567"/>
            <w:vAlign w:val="top"/>
            <w:shd w:val="clear" w:color="auto" w:fill="1F4E79"/>
          </w:tcPr>
          <w:p>
            <w:pPr>
              <w:jc w:val="center"/>
            </w:pPr>
            <w:r>
              <w:rPr>
                <w:rFonts w:ascii="Arial" w:hAnsi="Arial"/>
                <w:b/>
                <w:i w:val="0"/>
                <w:color w:val="FFFFFF"/>
                <w:sz w:val="18"/>
              </w:rPr>
              <w:t>Sr.</w:t>
            </w:r>
          </w:p>
        </w:tc>
        <w:tc>
          <w:tcPr>
            <w:tcW w:type="dxa" w:w="3402"/>
            <w:vAlign w:val="top"/>
            <w:shd w:val="clear" w:color="auto" w:fill="1F4E79"/>
          </w:tcPr>
          <w:p>
            <w:pPr>
              <w:jc w:val="center"/>
            </w:pPr>
            <w:r>
              <w:rPr>
                <w:rFonts w:ascii="Arial" w:hAnsi="Arial"/>
                <w:b/>
                <w:i w:val="0"/>
                <w:color w:val="FFFFFF"/>
                <w:sz w:val="18"/>
              </w:rPr>
              <w:t>Nature of Fraud</w:t>
            </w:r>
          </w:p>
        </w:tc>
        <w:tc>
          <w:tcPr>
            <w:tcW w:type="dxa" w:w="1701"/>
            <w:vAlign w:val="top"/>
            <w:shd w:val="clear" w:color="auto" w:fill="1F4E79"/>
          </w:tcPr>
          <w:p>
            <w:pPr>
              <w:jc w:val="center"/>
            </w:pPr>
            <w:r>
              <w:rPr>
                <w:rFonts w:ascii="Arial" w:hAnsi="Arial"/>
                <w:b/>
                <w:i w:val="0"/>
                <w:color w:val="FFFFFF"/>
                <w:sz w:val="18"/>
              </w:rPr>
              <w:t>Amount (₹ Lakh)</w:t>
            </w:r>
          </w:p>
        </w:tc>
        <w:tc>
          <w:tcPr>
            <w:tcW w:type="dxa" w:w="2268"/>
            <w:vAlign w:val="top"/>
            <w:shd w:val="clear" w:color="auto" w:fill="1F4E79"/>
          </w:tcPr>
          <w:p>
            <w:pPr>
              <w:jc w:val="center"/>
            </w:pPr>
            <w:r>
              <w:rPr>
                <w:rFonts w:ascii="Arial" w:hAnsi="Arial"/>
                <w:b/>
                <w:i w:val="0"/>
                <w:color w:val="FFFFFF"/>
                <w:sz w:val="18"/>
              </w:rPr>
              <w:t>Persons Involved</w:t>
            </w:r>
          </w:p>
        </w:tc>
        <w:tc>
          <w:tcPr>
            <w:tcW w:type="dxa" w:w="1701"/>
            <w:vAlign w:val="top"/>
            <w:shd w:val="clear" w:color="auto" w:fill="1F4E79"/>
          </w:tcPr>
          <w:p>
            <w:pPr>
              <w:jc w:val="center"/>
            </w:pPr>
            <w:r>
              <w:rPr>
                <w:rFonts w:ascii="Arial" w:hAnsi="Arial"/>
                <w:b/>
                <w:i w:val="0"/>
                <w:color w:val="FFFFFF"/>
                <w:sz w:val="18"/>
              </w:rPr>
              <w:t>IRDAI Reported</w:t>
            </w:r>
          </w:p>
        </w:tc>
        <w:tc>
          <w:tcPr>
            <w:tcW w:type="dxa" w:w="1701"/>
            <w:vAlign w:val="top"/>
            <w:shd w:val="clear" w:color="auto" w:fill="1F4E79"/>
          </w:tcPr>
          <w:p>
            <w:pPr>
              <w:jc w:val="center"/>
            </w:pPr>
            <w:r>
              <w:rPr>
                <w:rFonts w:ascii="Arial" w:hAnsi="Arial"/>
                <w:b/>
                <w:i w:val="0"/>
                <w:color w:val="FFFFFF"/>
                <w:sz w:val="18"/>
              </w:rPr>
              <w:t>Action Taken</w:t>
            </w:r>
          </w:p>
        </w:tc>
      </w:tr>
      <w:tr>
        <w:tc>
          <w:tcPr>
            <w:tcW w:type="dxa" w:w="567"/>
            <w:vAlign w:val="top"/>
          </w:tcPr>
          <w:p>
            <w:pPr>
              <w:jc w:val="left"/>
            </w:pPr>
            <w:r>
              <w:rPr>
                <w:rFonts w:ascii="Arial" w:hAnsi="Arial"/>
                <w:b w:val="0"/>
                <w:i w:val="0"/>
                <w:sz w:val="18"/>
              </w:rPr>
              <w:t>1</w:t>
            </w:r>
          </w:p>
        </w:tc>
        <w:tc>
          <w:tcPr>
            <w:tcW w:type="dxa" w:w="3402"/>
            <w:vAlign w:val="top"/>
          </w:tcPr>
          <w:p>
            <w:pPr>
              <w:jc w:val="left"/>
            </w:pPr>
            <w:r>
              <w:rPr>
                <w:rFonts w:ascii="Arial" w:hAnsi="Arial"/>
                <w:b w:val="0"/>
                <w:i w:val="0"/>
                <w:sz w:val="18"/>
              </w:rPr>
              <w:t>[Nature / NIL — No frauds of ₹1 crore or above came to our notice]</w:t>
            </w:r>
          </w:p>
        </w:tc>
        <w:tc>
          <w:tcPr>
            <w:tcW w:type="dxa" w:w="1701"/>
            <w:vAlign w:val="top"/>
          </w:tcPr>
          <w:p>
            <w:pPr>
              <w:jc w:val="left"/>
            </w:pPr>
            <w:r>
              <w:rPr>
                <w:rFonts w:ascii="Arial" w:hAnsi="Arial"/>
                <w:b w:val="0"/>
                <w:i w:val="0"/>
                <w:sz w:val="18"/>
              </w:rPr>
              <w:t>[Amount / NIL]</w:t>
            </w:r>
          </w:p>
        </w:tc>
        <w:tc>
          <w:tcPr>
            <w:tcW w:type="dxa" w:w="2268"/>
            <w:vAlign w:val="top"/>
          </w:tcPr>
          <w:p>
            <w:pPr>
              <w:jc w:val="left"/>
            </w:pPr>
            <w:r>
              <w:rPr>
                <w:rFonts w:ascii="Arial" w:hAnsi="Arial"/>
                <w:b w:val="0"/>
                <w:i w:val="0"/>
                <w:sz w:val="18"/>
              </w:rPr>
              <w:t>[Designation / N.A.]</w:t>
            </w:r>
          </w:p>
        </w:tc>
        <w:tc>
          <w:tcPr>
            <w:tcW w:type="dxa" w:w="1701"/>
            <w:vAlign w:val="top"/>
          </w:tcPr>
          <w:p>
            <w:pPr>
              <w:jc w:val="left"/>
            </w:pPr>
            <w:r>
              <w:rPr>
                <w:rFonts w:ascii="Arial" w:hAnsi="Arial"/>
                <w:b w:val="0"/>
                <w:i w:val="0"/>
                <w:sz w:val="18"/>
              </w:rPr>
              <w:t>[Y/N / N.A.]</w:t>
            </w:r>
          </w:p>
        </w:tc>
        <w:tc>
          <w:tcPr>
            <w:tcW w:type="dxa" w:w="1701"/>
            <w:vAlign w:val="top"/>
          </w:tcPr>
          <w:p>
            <w:pPr>
              <w:jc w:val="left"/>
            </w:pPr>
            <w:r>
              <w:rPr>
                <w:rFonts w:ascii="Arial" w:hAnsi="Arial"/>
                <w:b w:val="0"/>
                <w:i w:val="0"/>
                <w:sz w:val="18"/>
              </w:rPr>
              <w:t>[Status / N.A.]</w:t>
            </w:r>
          </w:p>
        </w:tc>
      </w:tr>
    </w:tbl>
    <w:p/>
    <w:p>
      <w:pPr>
        <w:spacing w:before="160" w:after="80"/>
      </w:pPr>
      <w:r>
        <w:rPr>
          <w:rFonts w:ascii="Arial" w:hAnsi="Arial"/>
          <w:b/>
          <w:i w:val="0"/>
          <w:sz w:val="24"/>
        </w:rPr>
        <w:t>3. Insurance-Specific Fraud Risks Considered</w:t>
      </w:r>
    </w:p>
    <w:tbl>
      <w:tblPr>
        <w:tblStyle w:val="TableGrid"/>
        <w:tblW w:type="auto" w:w="0"/>
        <w:tblLook w:firstColumn="1" w:firstRow="1" w:lastColumn="0" w:lastRow="0" w:noHBand="0" w:noVBand="1" w:val="04A0"/>
      </w:tblPr>
      <w:tblGrid>
        <w:gridCol w:w="4857"/>
        <w:gridCol w:w="4857"/>
        <w:gridCol w:w="4857"/>
      </w:tblGrid>
      <w:tr>
        <w:tc>
          <w:tcPr>
            <w:tcW w:type="dxa" w:w="2835"/>
            <w:vAlign w:val="top"/>
            <w:shd w:val="clear" w:color="auto" w:fill="1F4E79"/>
          </w:tcPr>
          <w:p>
            <w:pPr>
              <w:jc w:val="center"/>
            </w:pPr>
            <w:r>
              <w:rPr>
                <w:rFonts w:ascii="Arial" w:hAnsi="Arial"/>
                <w:b/>
                <w:i w:val="0"/>
                <w:color w:val="FFFFFF"/>
                <w:sz w:val="18"/>
              </w:rPr>
              <w:t>Fraud Risk Area</w:t>
            </w:r>
          </w:p>
        </w:tc>
        <w:tc>
          <w:tcPr>
            <w:tcW w:type="dxa" w:w="3402"/>
            <w:vAlign w:val="top"/>
            <w:shd w:val="clear" w:color="auto" w:fill="1F4E79"/>
          </w:tcPr>
          <w:p>
            <w:pPr>
              <w:jc w:val="center"/>
            </w:pPr>
            <w:r>
              <w:rPr>
                <w:rFonts w:ascii="Arial" w:hAnsi="Arial"/>
                <w:b/>
                <w:i w:val="0"/>
                <w:color w:val="FFFFFF"/>
                <w:sz w:val="18"/>
              </w:rPr>
              <w:t>Procedure Performed</w:t>
            </w:r>
          </w:p>
        </w:tc>
        <w:tc>
          <w:tcPr>
            <w:tcW w:type="dxa" w:w="5102"/>
            <w:vAlign w:val="top"/>
            <w:shd w:val="clear" w:color="auto" w:fill="1F4E79"/>
          </w:tcPr>
          <w:p>
            <w:pPr>
              <w:jc w:val="center"/>
            </w:pPr>
            <w:r>
              <w:rPr>
                <w:rFonts w:ascii="Arial" w:hAnsi="Arial"/>
                <w:b/>
                <w:i w:val="0"/>
                <w:color w:val="FFFFFF"/>
                <w:sz w:val="18"/>
              </w:rPr>
              <w:t>Finding</w:t>
            </w:r>
          </w:p>
        </w:tc>
      </w:tr>
      <w:tr>
        <w:tc>
          <w:tcPr>
            <w:tcW w:type="dxa" w:w="2835"/>
            <w:vAlign w:val="top"/>
          </w:tcPr>
          <w:p>
            <w:pPr>
              <w:jc w:val="left"/>
            </w:pPr>
            <w:r>
              <w:rPr>
                <w:rFonts w:ascii="Arial" w:hAnsi="Arial"/>
                <w:b w:val="0"/>
                <w:i w:val="0"/>
                <w:sz w:val="18"/>
              </w:rPr>
              <w:t>Premium misappropriation — agents / brokers collecting premium and not remitting</w:t>
            </w:r>
          </w:p>
        </w:tc>
        <w:tc>
          <w:tcPr>
            <w:tcW w:type="dxa" w:w="3402"/>
            <w:vAlign w:val="top"/>
          </w:tcPr>
          <w:p>
            <w:pPr>
              <w:jc w:val="left"/>
            </w:pPr>
            <w:r>
              <w:rPr>
                <w:rFonts w:ascii="Arial" w:hAnsi="Arial"/>
                <w:b w:val="0"/>
                <w:i w:val="0"/>
                <w:sz w:val="18"/>
              </w:rPr>
              <w:t>Analytical review of premium pendency with agents; reconciliation of premium register to revenue account</w:t>
            </w:r>
          </w:p>
        </w:tc>
        <w:tc>
          <w:tcPr>
            <w:tcW w:type="dxa" w:w="5102"/>
            <w:vAlign w:val="top"/>
          </w:tcPr>
          <w:p>
            <w:pPr>
              <w:jc w:val="left"/>
            </w:pPr>
            <w:r>
              <w:rPr>
                <w:rFonts w:ascii="Arial" w:hAnsi="Arial"/>
                <w:b w:val="0"/>
                <w:i w:val="0"/>
                <w:sz w:val="18"/>
              </w:rPr>
              <w:t>[No exceptions / Exceptions noted: ₹XX lakh — reported to IRDAI / management]</w:t>
            </w:r>
          </w:p>
        </w:tc>
      </w:tr>
      <w:tr>
        <w:tc>
          <w:tcPr>
            <w:tcW w:type="dxa" w:w="2835"/>
            <w:vAlign w:val="top"/>
            <w:shd w:val="clear" w:color="auto" w:fill="EBF3FB"/>
          </w:tcPr>
          <w:p>
            <w:pPr>
              <w:jc w:val="left"/>
            </w:pPr>
            <w:r>
              <w:rPr>
                <w:rFonts w:ascii="Arial" w:hAnsi="Arial"/>
                <w:b w:val="0"/>
                <w:i w:val="0"/>
                <w:sz w:val="18"/>
              </w:rPr>
              <w:t>Claims fraud — inflated / fictitious claims</w:t>
            </w:r>
          </w:p>
        </w:tc>
        <w:tc>
          <w:tcPr>
            <w:tcW w:type="dxa" w:w="3402"/>
            <w:vAlign w:val="top"/>
            <w:shd w:val="clear" w:color="auto" w:fill="EBF3FB"/>
          </w:tcPr>
          <w:p>
            <w:pPr>
              <w:jc w:val="left"/>
            </w:pPr>
            <w:r>
              <w:rPr>
                <w:rFonts w:ascii="Arial" w:hAnsi="Arial"/>
                <w:b w:val="0"/>
                <w:i w:val="0"/>
                <w:sz w:val="18"/>
              </w:rPr>
              <w:t>Sample testing of high-value claims; verification of surveyor's report; review of repudiation register</w:t>
            </w:r>
          </w:p>
        </w:tc>
        <w:tc>
          <w:tcPr>
            <w:tcW w:type="dxa" w:w="5102"/>
            <w:vAlign w:val="top"/>
            <w:shd w:val="clear" w:color="auto" w:fill="EBF3FB"/>
          </w:tcPr>
          <w:p>
            <w:pPr>
              <w:jc w:val="left"/>
            </w:pPr>
            <w:r>
              <w:rPr>
                <w:rFonts w:ascii="Arial" w:hAnsi="Arial"/>
                <w:b w:val="0"/>
                <w:i w:val="0"/>
                <w:sz w:val="18"/>
              </w:rPr>
              <w:t>[No exceptions / Observations noted]</w:t>
            </w:r>
          </w:p>
        </w:tc>
      </w:tr>
      <w:tr>
        <w:tc>
          <w:tcPr>
            <w:tcW w:type="dxa" w:w="2835"/>
            <w:vAlign w:val="top"/>
          </w:tcPr>
          <w:p>
            <w:pPr>
              <w:jc w:val="left"/>
            </w:pPr>
            <w:r>
              <w:rPr>
                <w:rFonts w:ascii="Arial" w:hAnsi="Arial"/>
                <w:b w:val="0"/>
                <w:i w:val="0"/>
                <w:sz w:val="18"/>
              </w:rPr>
              <w:t>ULIP / policy holder fraud — misrepresentation of returns</w:t>
            </w:r>
          </w:p>
        </w:tc>
        <w:tc>
          <w:tcPr>
            <w:tcW w:type="dxa" w:w="3402"/>
            <w:vAlign w:val="top"/>
          </w:tcPr>
          <w:p>
            <w:pPr>
              <w:jc w:val="left"/>
            </w:pPr>
            <w:r>
              <w:rPr>
                <w:rFonts w:ascii="Arial" w:hAnsi="Arial"/>
                <w:b w:val="0"/>
                <w:i w:val="0"/>
                <w:sz w:val="18"/>
              </w:rPr>
              <w:t>Review of IRDAI circular compliance on benefit illustrations; sales literature review</w:t>
            </w:r>
          </w:p>
        </w:tc>
        <w:tc>
          <w:tcPr>
            <w:tcW w:type="dxa" w:w="5102"/>
            <w:vAlign w:val="top"/>
          </w:tcPr>
          <w:p>
            <w:pPr>
              <w:jc w:val="left"/>
            </w:pPr>
            <w:r>
              <w:rPr>
                <w:rFonts w:ascii="Arial" w:hAnsi="Arial"/>
                <w:b w:val="0"/>
                <w:i w:val="0"/>
                <w:sz w:val="18"/>
              </w:rPr>
              <w:t>[Compliant / Non-compliant — details]</w:t>
            </w:r>
          </w:p>
        </w:tc>
      </w:tr>
      <w:tr>
        <w:tc>
          <w:tcPr>
            <w:tcW w:type="dxa" w:w="2835"/>
            <w:vAlign w:val="top"/>
            <w:shd w:val="clear" w:color="auto" w:fill="EBF3FB"/>
          </w:tcPr>
          <w:p>
            <w:pPr>
              <w:jc w:val="left"/>
            </w:pPr>
            <w:r>
              <w:rPr>
                <w:rFonts w:ascii="Arial" w:hAnsi="Arial"/>
                <w:b w:val="0"/>
                <w:i w:val="0"/>
                <w:sz w:val="18"/>
              </w:rPr>
              <w:t>Investment front-running / related party benefit</w:t>
            </w:r>
          </w:p>
        </w:tc>
        <w:tc>
          <w:tcPr>
            <w:tcW w:type="dxa" w:w="3402"/>
            <w:vAlign w:val="top"/>
            <w:shd w:val="clear" w:color="auto" w:fill="EBF3FB"/>
          </w:tcPr>
          <w:p>
            <w:pPr>
              <w:jc w:val="left"/>
            </w:pPr>
            <w:r>
              <w:rPr>
                <w:rFonts w:ascii="Arial" w:hAnsi="Arial"/>
                <w:b w:val="0"/>
                <w:i w:val="0"/>
                <w:sz w:val="18"/>
              </w:rPr>
              <w:t>Review of investment committee minutes; related party transactions in investment portfolio</w:t>
            </w:r>
          </w:p>
        </w:tc>
        <w:tc>
          <w:tcPr>
            <w:tcW w:type="dxa" w:w="5102"/>
            <w:vAlign w:val="top"/>
            <w:shd w:val="clear" w:color="auto" w:fill="EBF3FB"/>
          </w:tcPr>
          <w:p>
            <w:pPr>
              <w:jc w:val="left"/>
            </w:pPr>
            <w:r>
              <w:rPr>
                <w:rFonts w:ascii="Arial" w:hAnsi="Arial"/>
                <w:b w:val="0"/>
                <w:i w:val="0"/>
                <w:sz w:val="18"/>
              </w:rPr>
              <w:t>[No exceptions / Refer IN.RPT.05]</w:t>
            </w:r>
          </w:p>
        </w:tc>
      </w:tr>
    </w:tbl>
    <w:p/>
    <w:p>
      <w:pPr>
        <w:spacing w:before="160" w:after="80"/>
      </w:pPr>
      <w:r>
        <w:rPr>
          <w:rFonts w:ascii="Arial" w:hAnsi="Arial"/>
          <w:b/>
          <w:i w:val="0"/>
          <w:sz w:val="24"/>
        </w:rPr>
        <w:t>4. Certification</w:t>
      </w:r>
    </w:p>
    <w:p>
      <w:pPr>
        <w:spacing w:before="80" w:after="80"/>
        <w:jc w:val="left"/>
      </w:pPr>
      <w:r>
        <w:rPr>
          <w:rFonts w:ascii="Arial" w:hAnsi="Arial"/>
          <w:b w:val="0"/>
          <w:i w:val="0"/>
          <w:sz w:val="20"/>
        </w:rPr>
        <w:t>Based on our audit procedures and management representations (Management Representation Letter dated [date]), we certify that [no fraud involving amounts of ₹1 crore or above came to our notice / the fraud(s) detailed above came to our notice] during the course of our statutory audit for the year ended 31st March 20XX.</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Fraud Certificate — Section 143(12) — Insurance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513AC76-70CD-440E-85BB-211D75057984}"/>
</file>

<file path=customXml/itemProps3.xml><?xml version="1.0" encoding="utf-8"?>
<ds:datastoreItem xmlns:ds="http://schemas.openxmlformats.org/officeDocument/2006/customXml" ds:itemID="{CC551FB4-FFD2-4F6D-B7AE-F954E5910787}"/>
</file>

<file path=customXml/itemProps4.xml><?xml version="1.0" encoding="utf-8"?>
<ds:datastoreItem xmlns:ds="http://schemas.openxmlformats.org/officeDocument/2006/customXml" ds:itemID="{E575174A-E258-4F58-BEB5-9BA9C7A3862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