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6"/>
        </w:rPr>
        <w:t>FORM A1</w:t>
      </w:r>
    </w:p>
    <w:p>
      <w:pPr>
        <w:spacing w:before="80" w:after="80"/>
        <w:jc w:val="center"/>
      </w:pPr>
      <w:r>
        <w:rPr>
          <w:rFonts w:ascii="Arial" w:hAnsi="Arial"/>
          <w:b w:val="0"/>
          <w:i/>
          <w:sz w:val="20"/>
        </w:rPr>
        <w:t>AUDITOR'S REPORT ON THE ACCOUNTS OF AN INSURANCE COMPANY</w:t>
        <w:br/>
        <w:t>[As prescribed under Schedule C to the IRDAI (Preparation of Financial Statements and Auditor's Report of Insurance Companies) Regulations, 2002]</w:t>
      </w:r>
    </w:p>
    <w:p>
      <w:pPr>
        <w:spacing w:before="40" w:after="40"/>
        <w:pBdr>
          <w:bottom w:val="single" w:sz="6" w:space="1" w:color="1F4E79"/>
        </w:pBdr>
      </w:pPr>
    </w:p>
    <w:p/>
    <w:p>
      <w:pPr>
        <w:spacing w:before="80" w:after="80"/>
        <w:jc w:val="left"/>
      </w:pPr>
      <w:r>
        <w:rPr>
          <w:rFonts w:ascii="Arial" w:hAnsi="Arial"/>
          <w:b w:val="0"/>
          <w:i w:val="0"/>
          <w:sz w:val="20"/>
        </w:rPr>
        <w:t>To the Members of [Name of the Insurance Company]</w:t>
      </w:r>
    </w:p>
    <w:p/>
    <w:p>
      <w:pPr>
        <w:spacing w:before="80" w:after="80"/>
        <w:jc w:val="left"/>
      </w:pPr>
      <w:r>
        <w:rPr>
          <w:rFonts w:ascii="Arial" w:hAnsi="Arial"/>
          <w:b w:val="0"/>
          <w:i w:val="0"/>
          <w:sz w:val="20"/>
        </w:rPr>
        <w:t>We have examined the Balance Sheet of [Name of the Insurance Company] as at 31st March 20XX, the Revenue Accounts, the Profit and Loss Account, and the Receipts and Payments Account for the year ended on that date, which are in agreement with the books of account of the company.</w:t>
      </w:r>
    </w:p>
    <w:p/>
    <w:p>
      <w:pPr>
        <w:spacing w:before="160" w:after="80"/>
      </w:pPr>
      <w:r>
        <w:rPr>
          <w:rFonts w:ascii="Arial" w:hAnsi="Arial"/>
          <w:b/>
          <w:i w:val="0"/>
          <w:sz w:val="24"/>
        </w:rPr>
        <w:t>I. Compliance Certification (Schedule C — Form A1)</w:t>
      </w:r>
    </w:p>
    <w:tbl>
      <w:tblPr>
        <w:tblStyle w:val="TableGrid"/>
        <w:tblW w:type="auto" w:w="0"/>
        <w:tblLook w:firstColumn="1" w:firstRow="1" w:lastColumn="0" w:lastRow="0" w:noHBand="0" w:noVBand="1" w:val="04A0"/>
      </w:tblPr>
      <w:tblGrid>
        <w:gridCol w:w="7285"/>
        <w:gridCol w:w="7285"/>
      </w:tblGrid>
      <w:tr>
        <w:tc>
          <w:tcPr>
            <w:tcW w:type="dxa" w:w="5669"/>
            <w:vAlign w:val="top"/>
            <w:shd w:val="clear" w:color="auto" w:fill="1F4E79"/>
          </w:tcPr>
          <w:p>
            <w:pPr>
              <w:jc w:val="center"/>
            </w:pPr>
            <w:r>
              <w:rPr>
                <w:rFonts w:ascii="Arial" w:hAnsi="Arial"/>
                <w:b/>
                <w:i w:val="0"/>
                <w:color w:val="FFFFFF"/>
                <w:sz w:val="18"/>
              </w:rPr>
              <w:t>Statement / Certification</w:t>
            </w:r>
          </w:p>
        </w:tc>
        <w:tc>
          <w:tcPr>
            <w:tcW w:type="dxa" w:w="5669"/>
            <w:vAlign w:val="top"/>
            <w:shd w:val="clear" w:color="auto" w:fill="1F4E79"/>
          </w:tcPr>
          <w:p>
            <w:pPr>
              <w:jc w:val="center"/>
            </w:pPr>
            <w:r>
              <w:rPr>
                <w:rFonts w:ascii="Arial" w:hAnsi="Arial"/>
                <w:b/>
                <w:i w:val="0"/>
                <w:color w:val="FFFFFF"/>
                <w:sz w:val="18"/>
              </w:rPr>
              <w:t>Response</w:t>
            </w:r>
          </w:p>
        </w:tc>
      </w:tr>
      <w:tr>
        <w:tc>
          <w:tcPr>
            <w:tcW w:type="dxa" w:w="5669"/>
            <w:vAlign w:val="top"/>
          </w:tcPr>
          <w:p>
            <w:pPr>
              <w:jc w:val="left"/>
            </w:pPr>
            <w:r>
              <w:rPr>
                <w:rFonts w:ascii="Arial" w:hAnsi="Arial"/>
                <w:b w:val="0"/>
                <w:i w:val="0"/>
                <w:sz w:val="18"/>
              </w:rPr>
              <w:t>1. The accounts are in agreement with the books of account maintained by the Company at its Head Office and branches.</w:t>
            </w:r>
          </w:p>
        </w:tc>
        <w:tc>
          <w:tcPr>
            <w:tcW w:type="dxa" w:w="5669"/>
            <w:vAlign w:val="top"/>
          </w:tcPr>
          <w:p>
            <w:pPr>
              <w:jc w:val="left"/>
            </w:pPr>
            <w:r>
              <w:rPr>
                <w:rFonts w:ascii="Arial" w:hAnsi="Arial"/>
                <w:b w:val="0"/>
                <w:i w:val="0"/>
                <w:sz w:val="18"/>
              </w:rPr>
              <w:t>AGREED — The accounts reconcile to the books of account at Head Office and [XX] branches.</w:t>
            </w:r>
          </w:p>
        </w:tc>
      </w:tr>
      <w:tr>
        <w:tc>
          <w:tcPr>
            <w:tcW w:type="dxa" w:w="5669"/>
            <w:vAlign w:val="top"/>
            <w:shd w:val="clear" w:color="auto" w:fill="EBF3FB"/>
          </w:tcPr>
          <w:p>
            <w:pPr>
              <w:jc w:val="left"/>
            </w:pPr>
            <w:r>
              <w:rPr>
                <w:rFonts w:ascii="Arial" w:hAnsi="Arial"/>
                <w:b w:val="0"/>
                <w:i w:val="0"/>
                <w:sz w:val="18"/>
              </w:rPr>
              <w:t>2. The returns received from offices and branches have been found adequate for the purpose of audit.</w:t>
            </w:r>
          </w:p>
        </w:tc>
        <w:tc>
          <w:tcPr>
            <w:tcW w:type="dxa" w:w="5669"/>
            <w:vAlign w:val="top"/>
            <w:shd w:val="clear" w:color="auto" w:fill="EBF3FB"/>
          </w:tcPr>
          <w:p>
            <w:pPr>
              <w:jc w:val="left"/>
            </w:pPr>
            <w:r>
              <w:rPr>
                <w:rFonts w:ascii="Arial" w:hAnsi="Arial"/>
                <w:b w:val="0"/>
                <w:i w:val="0"/>
                <w:sz w:val="18"/>
              </w:rPr>
              <w:t>ADEQUATE — We have received and reviewed the certified returns from all material branches / service offices.</w:t>
            </w:r>
          </w:p>
        </w:tc>
      </w:tr>
      <w:tr>
        <w:tc>
          <w:tcPr>
            <w:tcW w:type="dxa" w:w="5669"/>
            <w:vAlign w:val="top"/>
          </w:tcPr>
          <w:p>
            <w:pPr>
              <w:jc w:val="left"/>
            </w:pPr>
            <w:r>
              <w:rPr>
                <w:rFonts w:ascii="Arial" w:hAnsi="Arial"/>
                <w:b w:val="0"/>
                <w:i w:val="0"/>
                <w:sz w:val="18"/>
              </w:rPr>
              <w:t>3. The investments have been verified and are in accordance with the requirements of the Insurance Act, 1938 and the IRDAI (Assets, Funds and Investments) Regulations, 2024.</w:t>
            </w:r>
          </w:p>
        </w:tc>
        <w:tc>
          <w:tcPr>
            <w:tcW w:type="dxa" w:w="5669"/>
            <w:vAlign w:val="top"/>
          </w:tcPr>
          <w:p>
            <w:pPr>
              <w:jc w:val="left"/>
            </w:pPr>
            <w:r>
              <w:rPr>
                <w:rFonts w:ascii="Arial" w:hAnsi="Arial"/>
                <w:b w:val="0"/>
                <w:i w:val="0"/>
                <w:sz w:val="18"/>
              </w:rPr>
              <w:t>VERIFIED — Investment schedule agrees to the investment register. Category-wise compliance with IRDAI AFIF 2024 limits verified (WP IN.INV-02 refers).</w:t>
            </w:r>
          </w:p>
        </w:tc>
      </w:tr>
      <w:tr>
        <w:tc>
          <w:tcPr>
            <w:tcW w:type="dxa" w:w="5669"/>
            <w:vAlign w:val="top"/>
            <w:shd w:val="clear" w:color="auto" w:fill="EBF3FB"/>
          </w:tcPr>
          <w:p>
            <w:pPr>
              <w:jc w:val="left"/>
            </w:pPr>
            <w:r>
              <w:rPr>
                <w:rFonts w:ascii="Arial" w:hAnsi="Arial"/>
                <w:b w:val="0"/>
                <w:i w:val="0"/>
                <w:sz w:val="18"/>
              </w:rPr>
              <w:t>4. The accounting policies adopted in the preparation of the financial statements are appropriate and are in compliance with the applicable Accounting Standards and the IRDAI Regulations.</w:t>
            </w:r>
          </w:p>
        </w:tc>
        <w:tc>
          <w:tcPr>
            <w:tcW w:type="dxa" w:w="5669"/>
            <w:vAlign w:val="top"/>
            <w:shd w:val="clear" w:color="auto" w:fill="EBF3FB"/>
          </w:tcPr>
          <w:p>
            <w:pPr>
              <w:jc w:val="left"/>
            </w:pPr>
            <w:r>
              <w:rPr>
                <w:rFonts w:ascii="Arial" w:hAnsi="Arial"/>
                <w:b w:val="0"/>
                <w:i w:val="0"/>
                <w:sz w:val="18"/>
              </w:rPr>
              <w:t>APPROPRIATE AND COMPLIANT — Policies applied consistently with prior year; in compliance with AS / Ind AS as applicable and IRDAI FS Regulations 2002.</w:t>
            </w:r>
          </w:p>
        </w:tc>
      </w:tr>
      <w:tr>
        <w:tc>
          <w:tcPr>
            <w:tcW w:type="dxa" w:w="5669"/>
            <w:vAlign w:val="top"/>
          </w:tcPr>
          <w:p>
            <w:pPr>
              <w:jc w:val="left"/>
            </w:pPr>
            <w:r>
              <w:rPr>
                <w:rFonts w:ascii="Arial" w:hAnsi="Arial"/>
                <w:b w:val="0"/>
                <w:i w:val="0"/>
                <w:sz w:val="18"/>
              </w:rPr>
              <w:t>5. The Appointed Actuary has certified the actuarial liabilities included in the financial statements.</w:t>
            </w:r>
          </w:p>
        </w:tc>
        <w:tc>
          <w:tcPr>
            <w:tcW w:type="dxa" w:w="5669"/>
            <w:vAlign w:val="top"/>
          </w:tcPr>
          <w:p>
            <w:pPr>
              <w:jc w:val="left"/>
            </w:pPr>
            <w:r>
              <w:rPr>
                <w:rFonts w:ascii="Arial" w:hAnsi="Arial"/>
                <w:b w:val="0"/>
                <w:i w:val="0"/>
                <w:sz w:val="18"/>
              </w:rPr>
              <w:t>CERTIFIED — The Appointed Actuary's certificate dated [date] covers all policyholder liabilities, IBNR, PDR, and solvency margin. SA 620 reliance documented in IN.RPT.03.</w:t>
            </w:r>
          </w:p>
        </w:tc>
      </w:tr>
      <w:tr>
        <w:tc>
          <w:tcPr>
            <w:tcW w:type="dxa" w:w="5669"/>
            <w:vAlign w:val="top"/>
            <w:shd w:val="clear" w:color="auto" w:fill="EBF3FB"/>
          </w:tcPr>
          <w:p>
            <w:pPr>
              <w:jc w:val="left"/>
            </w:pPr>
            <w:r>
              <w:rPr>
                <w:rFonts w:ascii="Arial" w:hAnsi="Arial"/>
                <w:b w:val="0"/>
                <w:i w:val="0"/>
                <w:sz w:val="18"/>
              </w:rPr>
              <w:t>6. The Premium Deficiency Reserve (PDR) has been correctly computed and provided where applicable.</w:t>
            </w:r>
          </w:p>
        </w:tc>
        <w:tc>
          <w:tcPr>
            <w:tcW w:type="dxa" w:w="5669"/>
            <w:vAlign w:val="top"/>
            <w:shd w:val="clear" w:color="auto" w:fill="EBF3FB"/>
          </w:tcPr>
          <w:p>
            <w:pPr>
              <w:jc w:val="left"/>
            </w:pPr>
            <w:r>
              <w:rPr>
                <w:rFonts w:ascii="Arial" w:hAnsi="Arial"/>
                <w:b w:val="0"/>
                <w:i w:val="0"/>
                <w:sz w:val="18"/>
              </w:rPr>
              <w:t>VERIFIED — PDR of ₹[XX] lakh recognised for [Motor TP / Health / NIL — no PDR required]. Computation reviewed (WP IN.PREM-06 refers).</w:t>
            </w:r>
          </w:p>
        </w:tc>
      </w:tr>
      <w:tr>
        <w:tc>
          <w:tcPr>
            <w:tcW w:type="dxa" w:w="5669"/>
            <w:vAlign w:val="top"/>
          </w:tcPr>
          <w:p>
            <w:pPr>
              <w:jc w:val="left"/>
            </w:pPr>
            <w:r>
              <w:rPr>
                <w:rFonts w:ascii="Arial" w:hAnsi="Arial"/>
                <w:b w:val="0"/>
                <w:i w:val="0"/>
                <w:sz w:val="18"/>
              </w:rPr>
              <w:t>7. Claims outstanding have been adequately provided.</w:t>
            </w:r>
          </w:p>
        </w:tc>
        <w:tc>
          <w:tcPr>
            <w:tcW w:type="dxa" w:w="5669"/>
            <w:vAlign w:val="top"/>
          </w:tcPr>
          <w:p>
            <w:pPr>
              <w:jc w:val="left"/>
            </w:pPr>
            <w:r>
              <w:rPr>
                <w:rFonts w:ascii="Arial" w:hAnsi="Arial"/>
                <w:b w:val="0"/>
                <w:i w:val="0"/>
                <w:sz w:val="18"/>
              </w:rPr>
              <w:t>VERIFIED — Outstanding Claims Reserve (OCR) reviewed and IBNR certified by Appointed Actuary. Provision appears adequate (WP IN.CLM-02 and IN.CLM-03 refer).</w:t>
            </w:r>
          </w:p>
        </w:tc>
      </w:tr>
      <w:tr>
        <w:tc>
          <w:tcPr>
            <w:tcW w:type="dxa" w:w="5669"/>
            <w:vAlign w:val="top"/>
            <w:shd w:val="clear" w:color="auto" w:fill="EBF3FB"/>
          </w:tcPr>
          <w:p>
            <w:pPr>
              <w:jc w:val="left"/>
            </w:pPr>
            <w:r>
              <w:rPr>
                <w:rFonts w:ascii="Arial" w:hAnsi="Arial"/>
                <w:b w:val="0"/>
                <w:i w:val="0"/>
                <w:sz w:val="18"/>
              </w:rPr>
              <w:t>8. Expenses of Management have not exceeded the limits prescribed by IRDAI under the Expenses of Management Regulations.</w:t>
            </w:r>
          </w:p>
        </w:tc>
        <w:tc>
          <w:tcPr>
            <w:tcW w:type="dxa" w:w="5669"/>
            <w:vAlign w:val="top"/>
            <w:shd w:val="clear" w:color="auto" w:fill="EBF3FB"/>
          </w:tcPr>
          <w:p>
            <w:pPr>
              <w:jc w:val="left"/>
            </w:pPr>
            <w:r>
              <w:rPr>
                <w:rFonts w:ascii="Arial" w:hAnsi="Arial"/>
                <w:b w:val="0"/>
                <w:i w:val="0"/>
                <w:sz w:val="18"/>
              </w:rPr>
              <w:t>COMPLIANT — MER for General / Life is [XX]% against prescribed limit of [XX]% (WP IN.EXP-01 refers). [OR: Exceeded by XX% — details below]</w:t>
            </w:r>
          </w:p>
        </w:tc>
      </w:tr>
      <w:tr>
        <w:tc>
          <w:tcPr>
            <w:tcW w:type="dxa" w:w="5669"/>
            <w:vAlign w:val="top"/>
          </w:tcPr>
          <w:p>
            <w:pPr>
              <w:jc w:val="left"/>
            </w:pPr>
            <w:r>
              <w:rPr>
                <w:rFonts w:ascii="Arial" w:hAnsi="Arial"/>
                <w:b w:val="0"/>
                <w:i w:val="0"/>
                <w:sz w:val="18"/>
              </w:rPr>
              <w:t>9. Commission paid to agents/brokers has not exceeded the limits prescribed under IRDAI Regulations.</w:t>
            </w:r>
          </w:p>
        </w:tc>
        <w:tc>
          <w:tcPr>
            <w:tcW w:type="dxa" w:w="5669"/>
            <w:vAlign w:val="top"/>
          </w:tcPr>
          <w:p>
            <w:pPr>
              <w:jc w:val="left"/>
            </w:pPr>
            <w:r>
              <w:rPr>
                <w:rFonts w:ascii="Arial" w:hAnsi="Arial"/>
                <w:b w:val="0"/>
                <w:i w:val="0"/>
                <w:sz w:val="18"/>
              </w:rPr>
              <w:t>COMPLIANT — Commission schedule verified (WP IN.EXP-02 refers). [No excess commission / Excess of ₹XX lakh noted — details]</w:t>
            </w:r>
          </w:p>
        </w:tc>
      </w:tr>
      <w:tr>
        <w:tc>
          <w:tcPr>
            <w:tcW w:type="dxa" w:w="5669"/>
            <w:vAlign w:val="top"/>
            <w:shd w:val="clear" w:color="auto" w:fill="EBF3FB"/>
          </w:tcPr>
          <w:p>
            <w:pPr>
              <w:jc w:val="left"/>
            </w:pPr>
            <w:r>
              <w:rPr>
                <w:rFonts w:ascii="Arial" w:hAnsi="Arial"/>
                <w:b w:val="0"/>
                <w:i w:val="0"/>
                <w:sz w:val="18"/>
              </w:rPr>
              <w:t>10. The Solvency Margin is maintained as required under Section 64VA of the Insurance Act, 1938.</w:t>
            </w:r>
          </w:p>
        </w:tc>
        <w:tc>
          <w:tcPr>
            <w:tcW w:type="dxa" w:w="5669"/>
            <w:vAlign w:val="top"/>
            <w:shd w:val="clear" w:color="auto" w:fill="EBF3FB"/>
          </w:tcPr>
          <w:p>
            <w:pPr>
              <w:jc w:val="left"/>
            </w:pPr>
            <w:r>
              <w:rPr>
                <w:rFonts w:ascii="Arial" w:hAnsi="Arial"/>
                <w:b w:val="0"/>
                <w:i w:val="0"/>
                <w:sz w:val="18"/>
              </w:rPr>
              <w:t>MAINTAINED — Solvency Ratio: [XX]%. Minimum required: 150%. [Compliant / Non-compliant — details in IN.RPT.04]</w:t>
            </w:r>
          </w:p>
        </w:tc>
      </w:tr>
      <w:tr>
        <w:tc>
          <w:tcPr>
            <w:tcW w:type="dxa" w:w="5669"/>
            <w:vAlign w:val="top"/>
          </w:tcPr>
          <w:p>
            <w:pPr>
              <w:jc w:val="left"/>
            </w:pPr>
            <w:r>
              <w:rPr>
                <w:rFonts w:ascii="Arial" w:hAnsi="Arial"/>
                <w:b w:val="0"/>
                <w:i w:val="0"/>
                <w:sz w:val="18"/>
              </w:rPr>
              <w:t>11. No part of the Life Insurance Fund has been applied directly or indirectly for purposes other than life insurance business.</w:t>
            </w:r>
          </w:p>
        </w:tc>
        <w:tc>
          <w:tcPr>
            <w:tcW w:type="dxa" w:w="5669"/>
            <w:vAlign w:val="top"/>
          </w:tcPr>
          <w:p>
            <w:pPr>
              <w:jc w:val="left"/>
            </w:pPr>
            <w:r>
              <w:rPr>
                <w:rFonts w:ascii="Arial" w:hAnsi="Arial"/>
                <w:b w:val="0"/>
                <w:i w:val="0"/>
                <w:sz w:val="18"/>
              </w:rPr>
              <w:t>CONFIRMED — Fund segregation verified. No cross-subsidy or diversion of Life Fund to Shareholders' Account without proper actuarial recommendation and Board approval.</w:t>
            </w:r>
          </w:p>
        </w:tc>
      </w:tr>
      <w:tr>
        <w:tc>
          <w:tcPr>
            <w:tcW w:type="dxa" w:w="5669"/>
            <w:vAlign w:val="top"/>
            <w:shd w:val="clear" w:color="auto" w:fill="EBF3FB"/>
          </w:tcPr>
          <w:p>
            <w:pPr>
              <w:jc w:val="left"/>
            </w:pPr>
            <w:r>
              <w:rPr>
                <w:rFonts w:ascii="Arial" w:hAnsi="Arial"/>
                <w:b w:val="0"/>
                <w:i w:val="0"/>
                <w:sz w:val="18"/>
              </w:rPr>
              <w:t>12. Reinsurance ceded is in accordance with the Board-approved reinsurance programme.</w:t>
            </w:r>
          </w:p>
        </w:tc>
        <w:tc>
          <w:tcPr>
            <w:tcW w:type="dxa" w:w="5669"/>
            <w:vAlign w:val="top"/>
            <w:shd w:val="clear" w:color="auto" w:fill="EBF3FB"/>
          </w:tcPr>
          <w:p>
            <w:pPr>
              <w:jc w:val="left"/>
            </w:pPr>
            <w:r>
              <w:rPr>
                <w:rFonts w:ascii="Arial" w:hAnsi="Arial"/>
                <w:b w:val="0"/>
                <w:i w:val="0"/>
                <w:sz w:val="18"/>
              </w:rPr>
              <w:t>CONFIRMED — Board Resolution / minutes approving RI programme reviewed. Treaty contracts verified (WP IN.PREM-04 refers).</w:t>
            </w:r>
          </w:p>
        </w:tc>
      </w:tr>
    </w:tbl>
    <w:p/>
    <w:p>
      <w:pPr>
        <w:spacing w:before="160" w:after="80"/>
      </w:pPr>
      <w:r>
        <w:rPr>
          <w:rFonts w:ascii="Arial" w:hAnsi="Arial"/>
          <w:b/>
          <w:i w:val="0"/>
          <w:sz w:val="24"/>
        </w:rPr>
        <w:t>II. Opinion</w:t>
      </w:r>
    </w:p>
    <w:p>
      <w:pPr>
        <w:spacing w:before="80" w:after="80"/>
        <w:jc w:val="left"/>
      </w:pPr>
      <w:r>
        <w:rPr>
          <w:rFonts w:ascii="Arial" w:hAnsi="Arial"/>
          <w:b w:val="0"/>
          <w:i w:val="0"/>
          <w:sz w:val="20"/>
        </w:rPr>
        <w:t>In our opinion and to the best of our information and according to the explanations given to us, the financial statements give the information required by the Insurance Act, 1938, the IRDAI (Preparation of Financial Statements and Auditor's Report of Insurance Companies) Regulations, 2002, and the Companies Act, 2013 in the manner so required and give a true and fair view in conformity with accounting principles generally accepted in India.</w:t>
      </w:r>
    </w:p>
    <w:p>
      <w:pPr>
        <w:spacing w:before="80" w:after="80"/>
        <w:jc w:val="left"/>
      </w:pPr>
      <w:r>
        <w:rPr>
          <w:rFonts w:ascii="Arial" w:hAnsi="Arial"/>
          <w:b w:val="0"/>
          <w:i/>
          <w:sz w:val="18"/>
        </w:rPr>
        <w:t>[Qualifications / Emphasis of Matter paragraphs, if any, are included in the Independent Auditor's Report (IN.RPT.01) which forms the full audit report and should be read in conjunction with this Form A1.]</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Form A1 — IRDAI FS Regulations — Insurance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24AEEB-F29E-4164-85EB-46B9B0CC001A}"/>
</file>

<file path=customXml/itemProps3.xml><?xml version="1.0" encoding="utf-8"?>
<ds:datastoreItem xmlns:ds="http://schemas.openxmlformats.org/officeDocument/2006/customXml" ds:itemID="{8F3BCCEF-6EDD-4C59-8E53-ED38C02DF60F}"/>
</file>

<file path=customXml/itemProps4.xml><?xml version="1.0" encoding="utf-8"?>
<ds:datastoreItem xmlns:ds="http://schemas.openxmlformats.org/officeDocument/2006/customXml" ds:itemID="{3DFA2324-2B0C-4971-886E-0E8994B821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