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4"/>
        </w:rPr>
        <w:t>FORM 3CD — STATEMENT OF PARTICULARS REQUIRED UNDER SECTION 44AB</w:t>
      </w:r>
    </w:p>
    <w:p>
      <w:pPr>
        <w:spacing w:before="80" w:after="80"/>
        <w:jc w:val="center"/>
      </w:pPr>
      <w:r>
        <w:rPr>
          <w:rFonts w:ascii="Arial" w:hAnsi="Arial"/>
          <w:b w:val="0"/>
          <w:i/>
          <w:sz w:val="20"/>
        </w:rPr>
        <w:t>[Insurance Company — For use with Form 3CA]</w:t>
      </w:r>
    </w:p>
    <w:p>
      <w:pPr>
        <w:spacing w:before="40" w:after="40"/>
        <w:pBdr>
          <w:bottom w:val="single" w:sz="6" w:space="1" w:color="1F4E79"/>
        </w:pBdr>
      </w:pPr>
    </w:p>
    <w:p/>
    <w:tbl>
      <w:tblPr>
        <w:tblStyle w:val="TableGrid"/>
        <w:tblW w:type="auto" w:w="0"/>
        <w:tblLook w:firstColumn="1" w:firstRow="1" w:lastColumn="0" w:lastRow="0" w:noHBand="0" w:noVBand="1" w:val="04A0"/>
      </w:tblPr>
      <w:tblGrid>
        <w:gridCol w:w="4857"/>
        <w:gridCol w:w="4857"/>
        <w:gridCol w:w="4857"/>
      </w:tblGrid>
      <w:tr>
        <w:tc>
          <w:tcPr>
            <w:tcW w:type="dxa" w:w="1134"/>
            <w:vAlign w:val="top"/>
            <w:shd w:val="clear" w:color="auto" w:fill="1F4E79"/>
          </w:tcPr>
          <w:p>
            <w:pPr>
              <w:jc w:val="center"/>
            </w:pPr>
            <w:r>
              <w:rPr>
                <w:rFonts w:ascii="Arial" w:hAnsi="Arial"/>
                <w:b/>
                <w:i w:val="0"/>
                <w:color w:val="FFFFFF"/>
                <w:sz w:val="18"/>
              </w:rPr>
              <w:t>Clause</w:t>
            </w:r>
          </w:p>
        </w:tc>
        <w:tc>
          <w:tcPr>
            <w:tcW w:type="dxa" w:w="3969"/>
            <w:vAlign w:val="top"/>
            <w:shd w:val="clear" w:color="auto" w:fill="1F4E79"/>
          </w:tcPr>
          <w:p>
            <w:pPr>
              <w:jc w:val="center"/>
            </w:pPr>
            <w:r>
              <w:rPr>
                <w:rFonts w:ascii="Arial" w:hAnsi="Arial"/>
                <w:b/>
                <w:i w:val="0"/>
                <w:color w:val="FFFFFF"/>
                <w:sz w:val="18"/>
              </w:rPr>
              <w:t>Particulars</w:t>
            </w:r>
          </w:p>
        </w:tc>
        <w:tc>
          <w:tcPr>
            <w:tcW w:type="dxa" w:w="6236"/>
            <w:vAlign w:val="top"/>
            <w:shd w:val="clear" w:color="auto" w:fill="1F4E79"/>
          </w:tcPr>
          <w:p>
            <w:pPr>
              <w:jc w:val="center"/>
            </w:pPr>
            <w:r>
              <w:rPr>
                <w:rFonts w:ascii="Arial" w:hAnsi="Arial"/>
                <w:b/>
                <w:i w:val="0"/>
                <w:color w:val="FFFFFF"/>
                <w:sz w:val="18"/>
              </w:rPr>
              <w:t>Response / Details</w:t>
            </w:r>
          </w:p>
        </w:tc>
      </w:tr>
      <w:tr>
        <w:tc>
          <w:tcPr>
            <w:tcW w:type="dxa" w:w="1134"/>
            <w:vAlign w:val="top"/>
          </w:tcPr>
          <w:p>
            <w:pPr>
              <w:jc w:val="left"/>
            </w:pPr>
            <w:r>
              <w:rPr>
                <w:rFonts w:ascii="Arial" w:hAnsi="Arial"/>
                <w:b w:val="0"/>
                <w:i w:val="0"/>
                <w:sz w:val="18"/>
              </w:rPr>
              <w:t>1</w:t>
            </w:r>
          </w:p>
        </w:tc>
        <w:tc>
          <w:tcPr>
            <w:tcW w:type="dxa" w:w="3969"/>
            <w:vAlign w:val="top"/>
          </w:tcPr>
          <w:p>
            <w:pPr>
              <w:jc w:val="left"/>
            </w:pPr>
            <w:r>
              <w:rPr>
                <w:rFonts w:ascii="Arial" w:hAnsi="Arial"/>
                <w:b w:val="0"/>
                <w:i w:val="0"/>
                <w:sz w:val="18"/>
              </w:rPr>
              <w:t>Name of the assessee</w:t>
            </w:r>
          </w:p>
        </w:tc>
        <w:tc>
          <w:tcPr>
            <w:tcW w:type="dxa" w:w="6236"/>
            <w:vAlign w:val="top"/>
          </w:tcPr>
          <w:p>
            <w:pPr>
              <w:jc w:val="left"/>
            </w:pPr>
            <w:r>
              <w:rPr>
                <w:rFonts w:ascii="Arial" w:hAnsi="Arial"/>
                <w:b w:val="0"/>
                <w:i w:val="0"/>
                <w:sz w:val="18"/>
              </w:rPr>
              <w:t>[Name of the Insurance Company]</w:t>
            </w:r>
          </w:p>
        </w:tc>
      </w:tr>
      <w:tr>
        <w:tc>
          <w:tcPr>
            <w:tcW w:type="dxa" w:w="1134"/>
            <w:vAlign w:val="top"/>
            <w:shd w:val="clear" w:color="auto" w:fill="EBF3FB"/>
          </w:tcPr>
          <w:p>
            <w:pPr>
              <w:jc w:val="left"/>
            </w:pPr>
            <w:r>
              <w:rPr>
                <w:rFonts w:ascii="Arial" w:hAnsi="Arial"/>
                <w:b w:val="0"/>
                <w:i w:val="0"/>
                <w:sz w:val="18"/>
              </w:rPr>
              <w:t>2</w:t>
            </w:r>
          </w:p>
        </w:tc>
        <w:tc>
          <w:tcPr>
            <w:tcW w:type="dxa" w:w="3969"/>
            <w:vAlign w:val="top"/>
            <w:shd w:val="clear" w:color="auto" w:fill="EBF3FB"/>
          </w:tcPr>
          <w:p>
            <w:pPr>
              <w:jc w:val="left"/>
            </w:pPr>
            <w:r>
              <w:rPr>
                <w:rFonts w:ascii="Arial" w:hAnsi="Arial"/>
                <w:b w:val="0"/>
                <w:i w:val="0"/>
                <w:sz w:val="18"/>
              </w:rPr>
              <w:t>Address</w:t>
            </w:r>
          </w:p>
        </w:tc>
        <w:tc>
          <w:tcPr>
            <w:tcW w:type="dxa" w:w="6236"/>
            <w:vAlign w:val="top"/>
            <w:shd w:val="clear" w:color="auto" w:fill="EBF3FB"/>
          </w:tcPr>
          <w:p>
            <w:pPr>
              <w:jc w:val="left"/>
            </w:pPr>
            <w:r>
              <w:rPr>
                <w:rFonts w:ascii="Arial" w:hAnsi="Arial"/>
                <w:b w:val="0"/>
                <w:i w:val="0"/>
                <w:sz w:val="18"/>
              </w:rPr>
              <w:t>[Registered Office Address]</w:t>
            </w:r>
          </w:p>
        </w:tc>
      </w:tr>
      <w:tr>
        <w:tc>
          <w:tcPr>
            <w:tcW w:type="dxa" w:w="1134"/>
            <w:vAlign w:val="top"/>
          </w:tcPr>
          <w:p>
            <w:pPr>
              <w:jc w:val="left"/>
            </w:pPr>
            <w:r>
              <w:rPr>
                <w:rFonts w:ascii="Arial" w:hAnsi="Arial"/>
                <w:b w:val="0"/>
                <w:i w:val="0"/>
                <w:sz w:val="18"/>
              </w:rPr>
              <w:t>3</w:t>
            </w:r>
          </w:p>
        </w:tc>
        <w:tc>
          <w:tcPr>
            <w:tcW w:type="dxa" w:w="3969"/>
            <w:vAlign w:val="top"/>
          </w:tcPr>
          <w:p>
            <w:pPr>
              <w:jc w:val="left"/>
            </w:pPr>
            <w:r>
              <w:rPr>
                <w:rFonts w:ascii="Arial" w:hAnsi="Arial"/>
                <w:b w:val="0"/>
                <w:i w:val="0"/>
                <w:sz w:val="18"/>
              </w:rPr>
              <w:t>PAN</w:t>
            </w:r>
          </w:p>
        </w:tc>
        <w:tc>
          <w:tcPr>
            <w:tcW w:type="dxa" w:w="6236"/>
            <w:vAlign w:val="top"/>
          </w:tcPr>
          <w:p>
            <w:pPr>
              <w:jc w:val="left"/>
            </w:pPr>
            <w:r>
              <w:rPr>
                <w:rFonts w:ascii="Arial" w:hAnsi="Arial"/>
                <w:b w:val="0"/>
                <w:i w:val="0"/>
                <w:sz w:val="18"/>
              </w:rPr>
              <w:t>[XXXXXXXXXX]</w:t>
            </w:r>
          </w:p>
        </w:tc>
      </w:tr>
      <w:tr>
        <w:tc>
          <w:tcPr>
            <w:tcW w:type="dxa" w:w="1134"/>
            <w:vAlign w:val="top"/>
            <w:shd w:val="clear" w:color="auto" w:fill="EBF3FB"/>
          </w:tcPr>
          <w:p>
            <w:pPr>
              <w:jc w:val="left"/>
            </w:pPr>
            <w:r>
              <w:rPr>
                <w:rFonts w:ascii="Arial" w:hAnsi="Arial"/>
                <w:b w:val="0"/>
                <w:i w:val="0"/>
                <w:sz w:val="18"/>
              </w:rPr>
              <w:t>4</w:t>
            </w:r>
          </w:p>
        </w:tc>
        <w:tc>
          <w:tcPr>
            <w:tcW w:type="dxa" w:w="3969"/>
            <w:vAlign w:val="top"/>
            <w:shd w:val="clear" w:color="auto" w:fill="EBF3FB"/>
          </w:tcPr>
          <w:p>
            <w:pPr>
              <w:jc w:val="left"/>
            </w:pPr>
            <w:r>
              <w:rPr>
                <w:rFonts w:ascii="Arial" w:hAnsi="Arial"/>
                <w:b w:val="0"/>
                <w:i w:val="0"/>
                <w:sz w:val="18"/>
              </w:rPr>
              <w:t>GST Registration</w:t>
            </w:r>
          </w:p>
        </w:tc>
        <w:tc>
          <w:tcPr>
            <w:tcW w:type="dxa" w:w="6236"/>
            <w:vAlign w:val="top"/>
            <w:shd w:val="clear" w:color="auto" w:fill="EBF3FB"/>
          </w:tcPr>
          <w:p>
            <w:pPr>
              <w:jc w:val="left"/>
            </w:pPr>
            <w:r>
              <w:rPr>
                <w:rFonts w:ascii="Arial" w:hAnsi="Arial"/>
                <w:b w:val="0"/>
                <w:i w:val="0"/>
                <w:sz w:val="18"/>
              </w:rPr>
              <w:t>[GST Reg. No. / Exempt — insurance services exempt under GST for basic life / health insurance; verify specific exemptions under Entry 35 of Notification 12/2017]</w:t>
            </w:r>
          </w:p>
        </w:tc>
      </w:tr>
      <w:tr>
        <w:tc>
          <w:tcPr>
            <w:tcW w:type="dxa" w:w="1134"/>
            <w:vAlign w:val="top"/>
          </w:tcPr>
          <w:p>
            <w:pPr>
              <w:jc w:val="left"/>
            </w:pPr>
            <w:r>
              <w:rPr>
                <w:rFonts w:ascii="Arial" w:hAnsi="Arial"/>
                <w:b w:val="0"/>
                <w:i w:val="0"/>
                <w:sz w:val="18"/>
              </w:rPr>
              <w:t>5</w:t>
            </w:r>
          </w:p>
        </w:tc>
        <w:tc>
          <w:tcPr>
            <w:tcW w:type="dxa" w:w="3969"/>
            <w:vAlign w:val="top"/>
          </w:tcPr>
          <w:p>
            <w:pPr>
              <w:jc w:val="left"/>
            </w:pPr>
            <w:r>
              <w:rPr>
                <w:rFonts w:ascii="Arial" w:hAnsi="Arial"/>
                <w:b w:val="0"/>
                <w:i w:val="0"/>
                <w:sz w:val="18"/>
              </w:rPr>
              <w:t>Name of person responsible for accounts</w:t>
            </w:r>
          </w:p>
        </w:tc>
        <w:tc>
          <w:tcPr>
            <w:tcW w:type="dxa" w:w="6236"/>
            <w:vAlign w:val="top"/>
          </w:tcPr>
          <w:p>
            <w:pPr>
              <w:jc w:val="left"/>
            </w:pPr>
            <w:r>
              <w:rPr>
                <w:rFonts w:ascii="Arial" w:hAnsi="Arial"/>
                <w:b w:val="0"/>
                <w:i w:val="0"/>
                <w:sz w:val="18"/>
              </w:rPr>
              <w:t>[CFO / Chief of Finance — Name, Designation]</w:t>
            </w:r>
          </w:p>
        </w:tc>
      </w:tr>
      <w:tr>
        <w:tc>
          <w:tcPr>
            <w:tcW w:type="dxa" w:w="1134"/>
            <w:vAlign w:val="top"/>
            <w:shd w:val="clear" w:color="auto" w:fill="EBF3FB"/>
          </w:tcPr>
          <w:p>
            <w:pPr>
              <w:jc w:val="left"/>
            </w:pPr>
            <w:r>
              <w:rPr>
                <w:rFonts w:ascii="Arial" w:hAnsi="Arial"/>
                <w:b w:val="0"/>
                <w:i w:val="0"/>
                <w:sz w:val="18"/>
              </w:rPr>
              <w:t>6</w:t>
            </w:r>
          </w:p>
        </w:tc>
        <w:tc>
          <w:tcPr>
            <w:tcW w:type="dxa" w:w="3969"/>
            <w:vAlign w:val="top"/>
            <w:shd w:val="clear" w:color="auto" w:fill="EBF3FB"/>
          </w:tcPr>
          <w:p>
            <w:pPr>
              <w:jc w:val="left"/>
            </w:pPr>
            <w:r>
              <w:rPr>
                <w:rFonts w:ascii="Arial" w:hAnsi="Arial"/>
                <w:b w:val="0"/>
                <w:i w:val="0"/>
                <w:sz w:val="18"/>
              </w:rPr>
              <w:t>Previous Year</w:t>
            </w:r>
          </w:p>
        </w:tc>
        <w:tc>
          <w:tcPr>
            <w:tcW w:type="dxa" w:w="6236"/>
            <w:vAlign w:val="top"/>
            <w:shd w:val="clear" w:color="auto" w:fill="EBF3FB"/>
          </w:tcPr>
          <w:p>
            <w:pPr>
              <w:jc w:val="left"/>
            </w:pPr>
            <w:r>
              <w:rPr>
                <w:rFonts w:ascii="Arial" w:hAnsi="Arial"/>
                <w:b w:val="0"/>
                <w:i w:val="0"/>
                <w:sz w:val="18"/>
              </w:rPr>
              <w:t>01.04.20XX to 31.03.20XX</w:t>
            </w:r>
          </w:p>
        </w:tc>
      </w:tr>
      <w:tr>
        <w:tc>
          <w:tcPr>
            <w:tcW w:type="dxa" w:w="1134"/>
            <w:vAlign w:val="top"/>
          </w:tcPr>
          <w:p>
            <w:pPr>
              <w:jc w:val="left"/>
            </w:pPr>
            <w:r>
              <w:rPr>
                <w:rFonts w:ascii="Arial" w:hAnsi="Arial"/>
                <w:b w:val="0"/>
                <w:i w:val="0"/>
                <w:sz w:val="18"/>
              </w:rPr>
              <w:t>7</w:t>
            </w:r>
          </w:p>
        </w:tc>
        <w:tc>
          <w:tcPr>
            <w:tcW w:type="dxa" w:w="3969"/>
            <w:vAlign w:val="top"/>
          </w:tcPr>
          <w:p>
            <w:pPr>
              <w:jc w:val="left"/>
            </w:pPr>
            <w:r>
              <w:rPr>
                <w:rFonts w:ascii="Arial" w:hAnsi="Arial"/>
                <w:b w:val="0"/>
                <w:i w:val="0"/>
                <w:sz w:val="18"/>
              </w:rPr>
              <w:t>Assessment Year</w:t>
            </w:r>
          </w:p>
        </w:tc>
        <w:tc>
          <w:tcPr>
            <w:tcW w:type="dxa" w:w="6236"/>
            <w:vAlign w:val="top"/>
          </w:tcPr>
          <w:p>
            <w:pPr>
              <w:jc w:val="left"/>
            </w:pPr>
            <w:r>
              <w:rPr>
                <w:rFonts w:ascii="Arial" w:hAnsi="Arial"/>
                <w:b w:val="0"/>
                <w:i w:val="0"/>
                <w:sz w:val="18"/>
              </w:rPr>
              <w:t>20XX-20XX</w:t>
            </w:r>
          </w:p>
        </w:tc>
      </w:tr>
      <w:tr>
        <w:tc>
          <w:tcPr>
            <w:tcW w:type="dxa" w:w="1134"/>
            <w:vAlign w:val="top"/>
            <w:shd w:val="clear" w:color="auto" w:fill="EBF3FB"/>
          </w:tcPr>
          <w:p>
            <w:pPr>
              <w:jc w:val="left"/>
            </w:pPr>
            <w:r>
              <w:rPr>
                <w:rFonts w:ascii="Arial" w:hAnsi="Arial"/>
                <w:b w:val="0"/>
                <w:i w:val="0"/>
                <w:sz w:val="18"/>
              </w:rPr>
              <w:t>8</w:t>
            </w:r>
          </w:p>
        </w:tc>
        <w:tc>
          <w:tcPr>
            <w:tcW w:type="dxa" w:w="3969"/>
            <w:vAlign w:val="top"/>
            <w:shd w:val="clear" w:color="auto" w:fill="EBF3FB"/>
          </w:tcPr>
          <w:p>
            <w:pPr>
              <w:jc w:val="left"/>
            </w:pPr>
            <w:r>
              <w:rPr>
                <w:rFonts w:ascii="Arial" w:hAnsi="Arial"/>
                <w:b w:val="0"/>
                <w:i w:val="0"/>
                <w:sz w:val="18"/>
              </w:rPr>
              <w:t>Clause of Section 44AB</w:t>
            </w:r>
          </w:p>
        </w:tc>
        <w:tc>
          <w:tcPr>
            <w:tcW w:type="dxa" w:w="6236"/>
            <w:vAlign w:val="top"/>
            <w:shd w:val="clear" w:color="auto" w:fill="EBF3FB"/>
          </w:tcPr>
          <w:p>
            <w:pPr>
              <w:jc w:val="left"/>
            </w:pPr>
            <w:r>
              <w:rPr>
                <w:rFonts w:ascii="Arial" w:hAnsi="Arial"/>
                <w:b w:val="0"/>
                <w:i w:val="0"/>
                <w:sz w:val="18"/>
              </w:rPr>
              <w:t>Clause (a) — Turnover / Gross Premium receipts exceed ₹1 crore [Insurance companies are covered under Section 44AB(a); gross premium income = turnover per CBDT circular]</w:t>
            </w:r>
          </w:p>
        </w:tc>
      </w:tr>
      <w:tr>
        <w:tc>
          <w:tcPr>
            <w:tcW w:type="dxa" w:w="1134"/>
            <w:vAlign w:val="top"/>
          </w:tcPr>
          <w:p>
            <w:pPr>
              <w:jc w:val="left"/>
            </w:pPr>
            <w:r>
              <w:rPr>
                <w:rFonts w:ascii="Arial" w:hAnsi="Arial"/>
                <w:b w:val="0"/>
                <w:i w:val="0"/>
                <w:sz w:val="18"/>
              </w:rPr>
              <w:t>9</w:t>
            </w:r>
          </w:p>
        </w:tc>
        <w:tc>
          <w:tcPr>
            <w:tcW w:type="dxa" w:w="3969"/>
            <w:vAlign w:val="top"/>
          </w:tcPr>
          <w:p>
            <w:pPr>
              <w:jc w:val="left"/>
            </w:pPr>
            <w:r>
              <w:rPr>
                <w:rFonts w:ascii="Arial" w:hAnsi="Arial"/>
                <w:b w:val="0"/>
                <w:i w:val="0"/>
                <w:sz w:val="18"/>
              </w:rPr>
              <w:t>Nature of business</w:t>
            </w:r>
          </w:p>
        </w:tc>
        <w:tc>
          <w:tcPr>
            <w:tcW w:type="dxa" w:w="6236"/>
            <w:vAlign w:val="top"/>
          </w:tcPr>
          <w:p>
            <w:pPr>
              <w:jc w:val="left"/>
            </w:pPr>
            <w:r>
              <w:rPr>
                <w:rFonts w:ascii="Arial" w:hAnsi="Arial"/>
                <w:b w:val="0"/>
                <w:i w:val="0"/>
                <w:sz w:val="18"/>
              </w:rPr>
              <w:t>[Life Insurance / General Insurance / Health Insurance] — NIC Code: [XXXXX]; IRDAI Registration No.: [XXXX]</w:t>
            </w:r>
          </w:p>
        </w:tc>
      </w:tr>
      <w:tr>
        <w:tc>
          <w:tcPr>
            <w:tcW w:type="dxa" w:w="1134"/>
            <w:vAlign w:val="top"/>
            <w:shd w:val="clear" w:color="auto" w:fill="EBF3FB"/>
          </w:tcPr>
          <w:p>
            <w:pPr>
              <w:jc w:val="left"/>
            </w:pPr>
            <w:r>
              <w:rPr>
                <w:rFonts w:ascii="Arial" w:hAnsi="Arial"/>
                <w:b w:val="0"/>
                <w:i w:val="0"/>
                <w:sz w:val="18"/>
              </w:rPr>
              <w:t>10</w:t>
            </w:r>
          </w:p>
        </w:tc>
        <w:tc>
          <w:tcPr>
            <w:tcW w:type="dxa" w:w="3969"/>
            <w:vAlign w:val="top"/>
            <w:shd w:val="clear" w:color="auto" w:fill="EBF3FB"/>
          </w:tcPr>
          <w:p>
            <w:pPr>
              <w:jc w:val="left"/>
            </w:pPr>
            <w:r>
              <w:rPr>
                <w:rFonts w:ascii="Arial" w:hAnsi="Arial"/>
                <w:b w:val="0"/>
                <w:i w:val="0"/>
                <w:sz w:val="18"/>
              </w:rPr>
              <w:t>Books of account</w:t>
            </w:r>
          </w:p>
        </w:tc>
        <w:tc>
          <w:tcPr>
            <w:tcW w:type="dxa" w:w="6236"/>
            <w:vAlign w:val="top"/>
            <w:shd w:val="clear" w:color="auto" w:fill="EBF3FB"/>
          </w:tcPr>
          <w:p>
            <w:pPr>
              <w:jc w:val="left"/>
            </w:pPr>
            <w:r>
              <w:rPr>
                <w:rFonts w:ascii="Arial" w:hAnsi="Arial"/>
                <w:b w:val="0"/>
                <w:i w:val="0"/>
                <w:sz w:val="18"/>
              </w:rPr>
              <w:t>Yes — Premium Register, Claims Register, Reinsurance Register, Investment Ledger, Policy-wise accounts maintained in [Insurance Core System — name]</w:t>
            </w:r>
          </w:p>
        </w:tc>
      </w:tr>
      <w:tr>
        <w:tc>
          <w:tcPr>
            <w:tcW w:type="dxa" w:w="1134"/>
            <w:vAlign w:val="top"/>
          </w:tcPr>
          <w:p>
            <w:pPr>
              <w:jc w:val="left"/>
            </w:pPr>
            <w:r>
              <w:rPr>
                <w:rFonts w:ascii="Arial" w:hAnsi="Arial"/>
                <w:b w:val="0"/>
                <w:i w:val="0"/>
                <w:sz w:val="18"/>
              </w:rPr>
              <w:t>11</w:t>
            </w:r>
          </w:p>
        </w:tc>
        <w:tc>
          <w:tcPr>
            <w:tcW w:type="dxa" w:w="3969"/>
            <w:vAlign w:val="top"/>
          </w:tcPr>
          <w:p>
            <w:pPr>
              <w:jc w:val="left"/>
            </w:pPr>
            <w:r>
              <w:rPr>
                <w:rFonts w:ascii="Arial" w:hAnsi="Arial"/>
                <w:b w:val="0"/>
                <w:i w:val="0"/>
                <w:sz w:val="18"/>
              </w:rPr>
              <w:t>List of books examined</w:t>
            </w:r>
          </w:p>
        </w:tc>
        <w:tc>
          <w:tcPr>
            <w:tcW w:type="dxa" w:w="6236"/>
            <w:vAlign w:val="top"/>
          </w:tcPr>
          <w:p>
            <w:pPr>
              <w:jc w:val="left"/>
            </w:pPr>
            <w:r>
              <w:rPr>
                <w:rFonts w:ascii="Arial" w:hAnsi="Arial"/>
                <w:b w:val="0"/>
                <w:i w:val="0"/>
                <w:sz w:val="18"/>
              </w:rPr>
              <w:t>Trial Balance, Revenue Accounts (Form B-RA / Form A-RA), IRDAI returns, Appointed Actuary's report, Investment register, Reinsurance accounts</w:t>
            </w:r>
          </w:p>
        </w:tc>
      </w:tr>
      <w:tr>
        <w:tc>
          <w:tcPr>
            <w:tcW w:type="dxa" w:w="1134"/>
            <w:vAlign w:val="top"/>
            <w:shd w:val="clear" w:color="auto" w:fill="EBF3FB"/>
          </w:tcPr>
          <w:p>
            <w:pPr>
              <w:jc w:val="left"/>
            </w:pPr>
            <w:r>
              <w:rPr>
                <w:rFonts w:ascii="Arial" w:hAnsi="Arial"/>
                <w:b w:val="0"/>
                <w:i w:val="0"/>
                <w:sz w:val="18"/>
              </w:rPr>
              <w:t>12</w:t>
            </w:r>
          </w:p>
        </w:tc>
        <w:tc>
          <w:tcPr>
            <w:tcW w:type="dxa" w:w="3969"/>
            <w:vAlign w:val="top"/>
            <w:shd w:val="clear" w:color="auto" w:fill="EBF3FB"/>
          </w:tcPr>
          <w:p>
            <w:pPr>
              <w:jc w:val="left"/>
            </w:pPr>
            <w:r>
              <w:rPr>
                <w:rFonts w:ascii="Arial" w:hAnsi="Arial"/>
                <w:b w:val="0"/>
                <w:i w:val="0"/>
                <w:sz w:val="18"/>
              </w:rPr>
              <w:t>Presumptive income</w:t>
            </w:r>
          </w:p>
        </w:tc>
        <w:tc>
          <w:tcPr>
            <w:tcW w:type="dxa" w:w="6236"/>
            <w:vAlign w:val="top"/>
            <w:shd w:val="clear" w:color="auto" w:fill="EBF3FB"/>
          </w:tcPr>
          <w:p>
            <w:pPr>
              <w:jc w:val="left"/>
            </w:pPr>
            <w:r>
              <w:rPr>
                <w:rFonts w:ascii="Arial" w:hAnsi="Arial"/>
                <w:b w:val="0"/>
                <w:i w:val="0"/>
                <w:sz w:val="18"/>
              </w:rPr>
              <w:t>NIL — actual accounts maintained</w:t>
            </w:r>
          </w:p>
        </w:tc>
      </w:tr>
      <w:tr>
        <w:tc>
          <w:tcPr>
            <w:tcW w:type="dxa" w:w="1134"/>
            <w:vAlign w:val="top"/>
          </w:tcPr>
          <w:p>
            <w:pPr>
              <w:jc w:val="left"/>
            </w:pPr>
            <w:r>
              <w:rPr>
                <w:rFonts w:ascii="Arial" w:hAnsi="Arial"/>
                <w:b w:val="0"/>
                <w:i w:val="0"/>
                <w:sz w:val="18"/>
              </w:rPr>
              <w:t>13</w:t>
            </w:r>
          </w:p>
        </w:tc>
        <w:tc>
          <w:tcPr>
            <w:tcW w:type="dxa" w:w="3969"/>
            <w:vAlign w:val="top"/>
          </w:tcPr>
          <w:p>
            <w:pPr>
              <w:jc w:val="left"/>
            </w:pPr>
            <w:r>
              <w:rPr>
                <w:rFonts w:ascii="Arial" w:hAnsi="Arial"/>
                <w:b w:val="0"/>
                <w:i w:val="0"/>
                <w:sz w:val="18"/>
              </w:rPr>
              <w:t>Method of accounting</w:t>
            </w:r>
          </w:p>
        </w:tc>
        <w:tc>
          <w:tcPr>
            <w:tcW w:type="dxa" w:w="6236"/>
            <w:vAlign w:val="top"/>
          </w:tcPr>
          <w:p>
            <w:pPr>
              <w:jc w:val="left"/>
            </w:pPr>
            <w:r>
              <w:rPr>
                <w:rFonts w:ascii="Arial" w:hAnsi="Arial"/>
                <w:b w:val="0"/>
                <w:i w:val="0"/>
                <w:sz w:val="18"/>
              </w:rPr>
              <w:t>Mercantile basis — as required under the Insurance Act, 1938 and IRDAI FS Regulations 2002</w:t>
            </w:r>
          </w:p>
        </w:tc>
      </w:tr>
      <w:tr>
        <w:tc>
          <w:tcPr>
            <w:tcW w:type="dxa" w:w="1134"/>
            <w:vAlign w:val="top"/>
            <w:shd w:val="clear" w:color="auto" w:fill="EBF3FB"/>
          </w:tcPr>
          <w:p>
            <w:pPr>
              <w:jc w:val="left"/>
            </w:pPr>
            <w:r>
              <w:rPr>
                <w:rFonts w:ascii="Arial" w:hAnsi="Arial"/>
                <w:b w:val="0"/>
                <w:i w:val="0"/>
                <w:sz w:val="18"/>
              </w:rPr>
              <w:t>14</w:t>
            </w:r>
          </w:p>
        </w:tc>
        <w:tc>
          <w:tcPr>
            <w:tcW w:type="dxa" w:w="3969"/>
            <w:vAlign w:val="top"/>
            <w:shd w:val="clear" w:color="auto" w:fill="EBF3FB"/>
          </w:tcPr>
          <w:p>
            <w:pPr>
              <w:jc w:val="left"/>
            </w:pPr>
            <w:r>
              <w:rPr>
                <w:rFonts w:ascii="Arial" w:hAnsi="Arial"/>
                <w:b w:val="0"/>
                <w:i w:val="0"/>
                <w:sz w:val="18"/>
              </w:rPr>
              <w:t>Method in preceding year</w:t>
            </w:r>
          </w:p>
        </w:tc>
        <w:tc>
          <w:tcPr>
            <w:tcW w:type="dxa" w:w="6236"/>
            <w:vAlign w:val="top"/>
            <w:shd w:val="clear" w:color="auto" w:fill="EBF3FB"/>
          </w:tcPr>
          <w:p>
            <w:pPr>
              <w:jc w:val="left"/>
            </w:pPr>
            <w:r>
              <w:rPr>
                <w:rFonts w:ascii="Arial" w:hAnsi="Arial"/>
                <w:b w:val="0"/>
                <w:i w:val="0"/>
                <w:sz w:val="18"/>
              </w:rPr>
              <w:t>Mercantile (unchanged)</w:t>
            </w:r>
          </w:p>
        </w:tc>
      </w:tr>
      <w:tr>
        <w:tc>
          <w:tcPr>
            <w:tcW w:type="dxa" w:w="1134"/>
            <w:vAlign w:val="top"/>
          </w:tcPr>
          <w:p>
            <w:pPr>
              <w:jc w:val="left"/>
            </w:pPr>
            <w:r>
              <w:rPr>
                <w:rFonts w:ascii="Arial" w:hAnsi="Arial"/>
                <w:b w:val="0"/>
                <w:i w:val="0"/>
                <w:sz w:val="18"/>
              </w:rPr>
              <w:t>15</w:t>
            </w:r>
          </w:p>
        </w:tc>
        <w:tc>
          <w:tcPr>
            <w:tcW w:type="dxa" w:w="3969"/>
            <w:vAlign w:val="top"/>
          </w:tcPr>
          <w:p>
            <w:pPr>
              <w:jc w:val="left"/>
            </w:pPr>
            <w:r>
              <w:rPr>
                <w:rFonts w:ascii="Arial" w:hAnsi="Arial"/>
                <w:b w:val="0"/>
                <w:i w:val="0"/>
                <w:sz w:val="18"/>
              </w:rPr>
              <w:t>Effect on profit of change in method</w:t>
            </w:r>
          </w:p>
        </w:tc>
        <w:tc>
          <w:tcPr>
            <w:tcW w:type="dxa" w:w="6236"/>
            <w:vAlign w:val="top"/>
          </w:tcPr>
          <w:p>
            <w:pPr>
              <w:jc w:val="left"/>
            </w:pPr>
            <w:r>
              <w:rPr>
                <w:rFonts w:ascii="Arial" w:hAnsi="Arial"/>
                <w:b w:val="0"/>
                <w:i w:val="0"/>
                <w:sz w:val="18"/>
              </w:rPr>
              <w:t>NIL</w:t>
            </w:r>
          </w:p>
        </w:tc>
      </w:tr>
      <w:tr>
        <w:tc>
          <w:tcPr>
            <w:tcW w:type="dxa" w:w="1134"/>
            <w:vAlign w:val="top"/>
            <w:shd w:val="clear" w:color="auto" w:fill="EBF3FB"/>
          </w:tcPr>
          <w:p>
            <w:pPr>
              <w:jc w:val="left"/>
            </w:pPr>
            <w:r>
              <w:rPr>
                <w:rFonts w:ascii="Arial" w:hAnsi="Arial"/>
                <w:b w:val="0"/>
                <w:i w:val="0"/>
                <w:sz w:val="18"/>
              </w:rPr>
              <w:t>16</w:t>
            </w:r>
          </w:p>
        </w:tc>
        <w:tc>
          <w:tcPr>
            <w:tcW w:type="dxa" w:w="3969"/>
            <w:vAlign w:val="top"/>
            <w:shd w:val="clear" w:color="auto" w:fill="EBF3FB"/>
          </w:tcPr>
          <w:p>
            <w:pPr>
              <w:jc w:val="left"/>
            </w:pPr>
            <w:r>
              <w:rPr>
                <w:rFonts w:ascii="Arial" w:hAnsi="Arial"/>
                <w:b w:val="0"/>
                <w:i w:val="0"/>
                <w:sz w:val="18"/>
              </w:rPr>
              <w:t>Valuation of closing stock</w:t>
            </w:r>
          </w:p>
        </w:tc>
        <w:tc>
          <w:tcPr>
            <w:tcW w:type="dxa" w:w="6236"/>
            <w:vAlign w:val="top"/>
            <w:shd w:val="clear" w:color="auto" w:fill="EBF3FB"/>
          </w:tcPr>
          <w:p>
            <w:pPr>
              <w:jc w:val="left"/>
            </w:pPr>
            <w:r>
              <w:rPr>
                <w:rFonts w:ascii="Arial" w:hAnsi="Arial"/>
                <w:b w:val="0"/>
                <w:i w:val="0"/>
                <w:sz w:val="18"/>
              </w:rPr>
              <w:t>N.A. — Insurance Company (no inventory)</w:t>
            </w:r>
          </w:p>
        </w:tc>
      </w:tr>
      <w:tr>
        <w:tc>
          <w:tcPr>
            <w:tcW w:type="dxa" w:w="1134"/>
            <w:vAlign w:val="top"/>
          </w:tcPr>
          <w:p>
            <w:pPr>
              <w:jc w:val="left"/>
            </w:pPr>
            <w:r>
              <w:rPr>
                <w:rFonts w:ascii="Arial" w:hAnsi="Arial"/>
                <w:b w:val="0"/>
                <w:i w:val="0"/>
                <w:sz w:val="18"/>
              </w:rPr>
              <w:t>17</w:t>
            </w:r>
          </w:p>
        </w:tc>
        <w:tc>
          <w:tcPr>
            <w:tcW w:type="dxa" w:w="3969"/>
            <w:vAlign w:val="top"/>
          </w:tcPr>
          <w:p>
            <w:pPr>
              <w:jc w:val="left"/>
            </w:pPr>
            <w:r>
              <w:rPr>
                <w:rFonts w:ascii="Arial" w:hAnsi="Arial"/>
                <w:b w:val="0"/>
                <w:i w:val="0"/>
                <w:sz w:val="18"/>
              </w:rPr>
              <w:t>Payments to Section 40A(2)(b) persons</w:t>
            </w:r>
          </w:p>
        </w:tc>
        <w:tc>
          <w:tcPr>
            <w:tcW w:type="dxa" w:w="6236"/>
            <w:vAlign w:val="top"/>
          </w:tcPr>
          <w:p>
            <w:pPr>
              <w:jc w:val="left"/>
            </w:pPr>
            <w:r>
              <w:rPr>
                <w:rFonts w:ascii="Arial" w:hAnsi="Arial"/>
                <w:b w:val="0"/>
                <w:i w:val="0"/>
                <w:sz w:val="18"/>
              </w:rPr>
              <w:t>[NIL / ₹XX lakh — details below including transactions with promoter group / related parties]</w:t>
            </w:r>
          </w:p>
        </w:tc>
      </w:tr>
      <w:tr>
        <w:tc>
          <w:tcPr>
            <w:tcW w:type="dxa" w:w="1134"/>
            <w:vAlign w:val="top"/>
            <w:shd w:val="clear" w:color="auto" w:fill="EBF3FB"/>
          </w:tcPr>
          <w:p>
            <w:pPr>
              <w:jc w:val="left"/>
            </w:pPr>
            <w:r>
              <w:rPr>
                <w:rFonts w:ascii="Arial" w:hAnsi="Arial"/>
                <w:b w:val="0"/>
                <w:i w:val="0"/>
                <w:sz w:val="18"/>
              </w:rPr>
              <w:t>18</w:t>
            </w:r>
          </w:p>
        </w:tc>
        <w:tc>
          <w:tcPr>
            <w:tcW w:type="dxa" w:w="3969"/>
            <w:vAlign w:val="top"/>
            <w:shd w:val="clear" w:color="auto" w:fill="EBF3FB"/>
          </w:tcPr>
          <w:p>
            <w:pPr>
              <w:jc w:val="left"/>
            </w:pPr>
            <w:r>
              <w:rPr>
                <w:rFonts w:ascii="Arial" w:hAnsi="Arial"/>
                <w:b w:val="0"/>
                <w:i w:val="0"/>
                <w:sz w:val="18"/>
              </w:rPr>
              <w:t>Section 43B deductions</w:t>
            </w:r>
          </w:p>
        </w:tc>
        <w:tc>
          <w:tcPr>
            <w:tcW w:type="dxa" w:w="6236"/>
            <w:vAlign w:val="top"/>
            <w:shd w:val="clear" w:color="auto" w:fill="EBF3FB"/>
          </w:tcPr>
          <w:p>
            <w:pPr>
              <w:jc w:val="left"/>
            </w:pPr>
            <w:r>
              <w:rPr>
                <w:rFonts w:ascii="Arial" w:hAnsi="Arial"/>
                <w:b w:val="0"/>
                <w:i w:val="0"/>
                <w:sz w:val="18"/>
              </w:rPr>
              <w:t>[Gratuity fund contribution: ₹XX lakh; PF contribution: ₹XX lakh — paid before due date / after due date ₹XX lakh] [Commission paid — note: commission is allowable as a business expense under Section 37 for insurance companies per CBDT circular]</w:t>
            </w:r>
          </w:p>
        </w:tc>
      </w:tr>
      <w:tr>
        <w:tc>
          <w:tcPr>
            <w:tcW w:type="dxa" w:w="1134"/>
            <w:vAlign w:val="top"/>
          </w:tcPr>
          <w:p>
            <w:pPr>
              <w:jc w:val="left"/>
            </w:pPr>
            <w:r>
              <w:rPr>
                <w:rFonts w:ascii="Arial" w:hAnsi="Arial"/>
                <w:b w:val="0"/>
                <w:i w:val="0"/>
                <w:sz w:val="18"/>
              </w:rPr>
              <w:t>19</w:t>
            </w:r>
          </w:p>
        </w:tc>
        <w:tc>
          <w:tcPr>
            <w:tcW w:type="dxa" w:w="3969"/>
            <w:vAlign w:val="top"/>
          </w:tcPr>
          <w:p>
            <w:pPr>
              <w:jc w:val="left"/>
            </w:pPr>
            <w:r>
              <w:rPr>
                <w:rFonts w:ascii="Arial" w:hAnsi="Arial"/>
                <w:b w:val="0"/>
                <w:i w:val="0"/>
                <w:sz w:val="18"/>
              </w:rPr>
              <w:t>TDS default disallowance — Section 40(a)</w:t>
            </w:r>
          </w:p>
        </w:tc>
        <w:tc>
          <w:tcPr>
            <w:tcW w:type="dxa" w:w="6236"/>
            <w:vAlign w:val="top"/>
          </w:tcPr>
          <w:p>
            <w:pPr>
              <w:jc w:val="left"/>
            </w:pPr>
            <w:r>
              <w:rPr>
                <w:rFonts w:ascii="Arial" w:hAnsi="Arial"/>
                <w:b w:val="0"/>
                <w:i w:val="0"/>
                <w:sz w:val="18"/>
              </w:rPr>
              <w:t>[NIL / ₹XX lakh — TDS on reinsurance premium paid to non-residents (Section 195) not deducted: ₹XX lakh]</w:t>
            </w:r>
          </w:p>
        </w:tc>
      </w:tr>
      <w:tr>
        <w:tc>
          <w:tcPr>
            <w:tcW w:type="dxa" w:w="1134"/>
            <w:vAlign w:val="top"/>
            <w:shd w:val="clear" w:color="auto" w:fill="EBF3FB"/>
          </w:tcPr>
          <w:p>
            <w:pPr>
              <w:jc w:val="left"/>
            </w:pPr>
            <w:r>
              <w:rPr>
                <w:rFonts w:ascii="Arial" w:hAnsi="Arial"/>
                <w:b w:val="0"/>
                <w:i w:val="0"/>
                <w:sz w:val="18"/>
              </w:rPr>
              <w:t>20</w:t>
            </w:r>
          </w:p>
        </w:tc>
        <w:tc>
          <w:tcPr>
            <w:tcW w:type="dxa" w:w="3969"/>
            <w:vAlign w:val="top"/>
            <w:shd w:val="clear" w:color="auto" w:fill="EBF3FB"/>
          </w:tcPr>
          <w:p>
            <w:pPr>
              <w:jc w:val="left"/>
            </w:pPr>
            <w:r>
              <w:rPr>
                <w:rFonts w:ascii="Arial" w:hAnsi="Arial"/>
                <w:b w:val="0"/>
                <w:i w:val="0"/>
                <w:sz w:val="18"/>
              </w:rPr>
              <w:t>Personal expenditure</w:t>
            </w:r>
          </w:p>
        </w:tc>
        <w:tc>
          <w:tcPr>
            <w:tcW w:type="dxa" w:w="6236"/>
            <w:vAlign w:val="top"/>
            <w:shd w:val="clear" w:color="auto" w:fill="EBF3FB"/>
          </w:tcPr>
          <w:p>
            <w:pPr>
              <w:jc w:val="left"/>
            </w:pPr>
            <w:r>
              <w:rPr>
                <w:rFonts w:ascii="Arial" w:hAnsi="Arial"/>
                <w:b w:val="0"/>
                <w:i w:val="0"/>
                <w:sz w:val="18"/>
              </w:rPr>
              <w:t>NIL</w:t>
            </w:r>
          </w:p>
        </w:tc>
      </w:tr>
      <w:tr>
        <w:tc>
          <w:tcPr>
            <w:tcW w:type="dxa" w:w="1134"/>
            <w:vAlign w:val="top"/>
          </w:tcPr>
          <w:p>
            <w:pPr>
              <w:jc w:val="left"/>
            </w:pPr>
            <w:r>
              <w:rPr>
                <w:rFonts w:ascii="Arial" w:hAnsi="Arial"/>
                <w:b w:val="0"/>
                <w:i w:val="0"/>
                <w:sz w:val="18"/>
              </w:rPr>
              <w:t>21</w:t>
            </w:r>
          </w:p>
        </w:tc>
        <w:tc>
          <w:tcPr>
            <w:tcW w:type="dxa" w:w="3969"/>
            <w:vAlign w:val="top"/>
          </w:tcPr>
          <w:p>
            <w:pPr>
              <w:jc w:val="left"/>
            </w:pPr>
            <w:r>
              <w:rPr>
                <w:rFonts w:ascii="Arial" w:hAnsi="Arial"/>
                <w:b w:val="0"/>
                <w:i w:val="0"/>
                <w:sz w:val="18"/>
              </w:rPr>
              <w:t>CENVAT / VAT</w:t>
            </w:r>
          </w:p>
        </w:tc>
        <w:tc>
          <w:tcPr>
            <w:tcW w:type="dxa" w:w="6236"/>
            <w:vAlign w:val="top"/>
          </w:tcPr>
          <w:p>
            <w:pPr>
              <w:jc w:val="left"/>
            </w:pPr>
            <w:r>
              <w:rPr>
                <w:rFonts w:ascii="Arial" w:hAnsi="Arial"/>
                <w:b w:val="0"/>
                <w:i w:val="0"/>
                <w:sz w:val="18"/>
              </w:rPr>
              <w:t>N.A.</w:t>
            </w:r>
          </w:p>
        </w:tc>
      </w:tr>
      <w:tr>
        <w:tc>
          <w:tcPr>
            <w:tcW w:type="dxa" w:w="1134"/>
            <w:vAlign w:val="top"/>
            <w:shd w:val="clear" w:color="auto" w:fill="EBF3FB"/>
          </w:tcPr>
          <w:p>
            <w:pPr>
              <w:jc w:val="left"/>
            </w:pPr>
            <w:r>
              <w:rPr>
                <w:rFonts w:ascii="Arial" w:hAnsi="Arial"/>
                <w:b w:val="0"/>
                <w:i w:val="0"/>
                <w:sz w:val="18"/>
              </w:rPr>
              <w:t>22</w:t>
            </w:r>
          </w:p>
        </w:tc>
        <w:tc>
          <w:tcPr>
            <w:tcW w:type="dxa" w:w="3969"/>
            <w:vAlign w:val="top"/>
            <w:shd w:val="clear" w:color="auto" w:fill="EBF3FB"/>
          </w:tcPr>
          <w:p>
            <w:pPr>
              <w:jc w:val="left"/>
            </w:pPr>
            <w:r>
              <w:rPr>
                <w:rFonts w:ascii="Arial" w:hAnsi="Arial"/>
                <w:b w:val="0"/>
                <w:i w:val="0"/>
                <w:sz w:val="18"/>
              </w:rPr>
              <w:t>Deductions under Sections 32AC/35 etc.</w:t>
            </w:r>
          </w:p>
        </w:tc>
        <w:tc>
          <w:tcPr>
            <w:tcW w:type="dxa" w:w="6236"/>
            <w:vAlign w:val="top"/>
            <w:shd w:val="clear" w:color="auto" w:fill="EBF3FB"/>
          </w:tcPr>
          <w:p>
            <w:pPr>
              <w:jc w:val="left"/>
            </w:pPr>
            <w:r>
              <w:rPr>
                <w:rFonts w:ascii="Arial" w:hAnsi="Arial"/>
                <w:b w:val="0"/>
                <w:i w:val="0"/>
                <w:sz w:val="18"/>
              </w:rPr>
              <w:t>[NIL / Contribution to Terrorism Pool / Motor TP Pool if applicable — ₹XX lakh]</w:t>
            </w:r>
          </w:p>
        </w:tc>
      </w:tr>
      <w:tr>
        <w:tc>
          <w:tcPr>
            <w:tcW w:type="dxa" w:w="1134"/>
            <w:vAlign w:val="top"/>
          </w:tcPr>
          <w:p>
            <w:pPr>
              <w:jc w:val="left"/>
            </w:pPr>
            <w:r>
              <w:rPr>
                <w:rFonts w:ascii="Arial" w:hAnsi="Arial"/>
                <w:b w:val="0"/>
                <w:i w:val="0"/>
                <w:sz w:val="18"/>
              </w:rPr>
              <w:t>23</w:t>
            </w:r>
          </w:p>
        </w:tc>
        <w:tc>
          <w:tcPr>
            <w:tcW w:type="dxa" w:w="3969"/>
            <w:vAlign w:val="top"/>
          </w:tcPr>
          <w:p>
            <w:pPr>
              <w:jc w:val="left"/>
            </w:pPr>
            <w:r>
              <w:rPr>
                <w:rFonts w:ascii="Arial" w:hAnsi="Arial"/>
                <w:b w:val="0"/>
                <w:i w:val="0"/>
                <w:sz w:val="18"/>
              </w:rPr>
              <w:t>PF / Superannuation</w:t>
            </w:r>
          </w:p>
        </w:tc>
        <w:tc>
          <w:tcPr>
            <w:tcW w:type="dxa" w:w="6236"/>
            <w:vAlign w:val="top"/>
          </w:tcPr>
          <w:p>
            <w:pPr>
              <w:jc w:val="left"/>
            </w:pPr>
            <w:r>
              <w:rPr>
                <w:rFonts w:ascii="Arial" w:hAnsi="Arial"/>
                <w:b w:val="0"/>
                <w:i w:val="0"/>
                <w:sz w:val="18"/>
              </w:rPr>
              <w:t>[₹XX lakh — details in schedule]</w:t>
            </w:r>
          </w:p>
        </w:tc>
      </w:tr>
      <w:tr>
        <w:tc>
          <w:tcPr>
            <w:tcW w:type="dxa" w:w="1134"/>
            <w:vAlign w:val="top"/>
            <w:shd w:val="clear" w:color="auto" w:fill="EBF3FB"/>
          </w:tcPr>
          <w:p>
            <w:pPr>
              <w:jc w:val="left"/>
            </w:pPr>
            <w:r>
              <w:rPr>
                <w:rFonts w:ascii="Arial" w:hAnsi="Arial"/>
                <w:b w:val="0"/>
                <w:i w:val="0"/>
                <w:sz w:val="18"/>
              </w:rPr>
              <w:t>24</w:t>
            </w:r>
          </w:p>
        </w:tc>
        <w:tc>
          <w:tcPr>
            <w:tcW w:type="dxa" w:w="3969"/>
            <w:vAlign w:val="top"/>
            <w:shd w:val="clear" w:color="auto" w:fill="EBF3FB"/>
          </w:tcPr>
          <w:p>
            <w:pPr>
              <w:jc w:val="left"/>
            </w:pPr>
            <w:r>
              <w:rPr>
                <w:rFonts w:ascii="Arial" w:hAnsi="Arial"/>
                <w:b w:val="0"/>
                <w:i w:val="0"/>
                <w:sz w:val="18"/>
              </w:rPr>
              <w:t>Amounts not deductible under Section 36</w:t>
            </w:r>
          </w:p>
        </w:tc>
        <w:tc>
          <w:tcPr>
            <w:tcW w:type="dxa" w:w="6236"/>
            <w:vAlign w:val="top"/>
            <w:shd w:val="clear" w:color="auto" w:fill="EBF3FB"/>
          </w:tcPr>
          <w:p>
            <w:pPr>
              <w:jc w:val="left"/>
            </w:pPr>
            <w:r>
              <w:rPr>
                <w:rFonts w:ascii="Arial" w:hAnsi="Arial"/>
                <w:b w:val="0"/>
                <w:i w:val="0"/>
                <w:sz w:val="18"/>
              </w:rPr>
              <w:t>[Bad debts written off — ₹XX lakh (Section 36(1)(vii)): only amounts written off in accounts eligible; claims provision — note: only paid claims and actuarially certified provisions are deductible for insurance companies per Section 44 read with Rule 5 of First Schedule to the Income Tax Act, 1961]</w:t>
            </w:r>
          </w:p>
        </w:tc>
      </w:tr>
      <w:tr>
        <w:tc>
          <w:tcPr>
            <w:tcW w:type="dxa" w:w="1134"/>
            <w:vAlign w:val="top"/>
          </w:tcPr>
          <w:p>
            <w:pPr>
              <w:jc w:val="left"/>
            </w:pPr>
            <w:r>
              <w:rPr>
                <w:rFonts w:ascii="Arial" w:hAnsi="Arial"/>
                <w:b w:val="0"/>
                <w:i w:val="0"/>
                <w:sz w:val="18"/>
              </w:rPr>
              <w:t>25</w:t>
            </w:r>
          </w:p>
        </w:tc>
        <w:tc>
          <w:tcPr>
            <w:tcW w:type="dxa" w:w="3969"/>
            <w:vAlign w:val="top"/>
          </w:tcPr>
          <w:p>
            <w:pPr>
              <w:jc w:val="left"/>
            </w:pPr>
            <w:r>
              <w:rPr>
                <w:rFonts w:ascii="Arial" w:hAnsi="Arial"/>
                <w:b w:val="0"/>
                <w:i w:val="0"/>
                <w:sz w:val="18"/>
              </w:rPr>
              <w:t>Section 33AB — Tea/Coffee/Rubber Development Account</w:t>
            </w:r>
          </w:p>
        </w:tc>
        <w:tc>
          <w:tcPr>
            <w:tcW w:type="dxa" w:w="6236"/>
            <w:vAlign w:val="top"/>
          </w:tcPr>
          <w:p>
            <w:pPr>
              <w:jc w:val="left"/>
            </w:pPr>
            <w:r>
              <w:rPr>
                <w:rFonts w:ascii="Arial" w:hAnsi="Arial"/>
                <w:b w:val="0"/>
                <w:i w:val="0"/>
                <w:sz w:val="18"/>
              </w:rPr>
              <w:t>N.A.</w:t>
            </w:r>
          </w:p>
        </w:tc>
      </w:tr>
      <w:tr>
        <w:tc>
          <w:tcPr>
            <w:tcW w:type="dxa" w:w="1134"/>
            <w:vAlign w:val="top"/>
            <w:shd w:val="clear" w:color="auto" w:fill="EBF3FB"/>
          </w:tcPr>
          <w:p>
            <w:pPr>
              <w:jc w:val="left"/>
            </w:pPr>
            <w:r>
              <w:rPr>
                <w:rFonts w:ascii="Arial" w:hAnsi="Arial"/>
                <w:b w:val="0"/>
                <w:i w:val="0"/>
                <w:sz w:val="18"/>
              </w:rPr>
              <w:t>26</w:t>
            </w:r>
          </w:p>
        </w:tc>
        <w:tc>
          <w:tcPr>
            <w:tcW w:type="dxa" w:w="3969"/>
            <w:vAlign w:val="top"/>
            <w:shd w:val="clear" w:color="auto" w:fill="EBF3FB"/>
          </w:tcPr>
          <w:p>
            <w:pPr>
              <w:jc w:val="left"/>
            </w:pPr>
            <w:r>
              <w:rPr>
                <w:rFonts w:ascii="Arial" w:hAnsi="Arial"/>
                <w:b w:val="0"/>
                <w:i w:val="0"/>
                <w:sz w:val="18"/>
              </w:rPr>
              <w:t>Loan / Hundi / Deposit — cash transactions</w:t>
            </w:r>
          </w:p>
        </w:tc>
        <w:tc>
          <w:tcPr>
            <w:tcW w:type="dxa" w:w="6236"/>
            <w:vAlign w:val="top"/>
            <w:shd w:val="clear" w:color="auto" w:fill="EBF3FB"/>
          </w:tcPr>
          <w:p>
            <w:pPr>
              <w:jc w:val="left"/>
            </w:pPr>
            <w:r>
              <w:rPr>
                <w:rFonts w:ascii="Arial" w:hAnsi="Arial"/>
                <w:b w:val="0"/>
                <w:i w:val="0"/>
                <w:sz w:val="18"/>
              </w:rPr>
              <w:t>NIL — all premium receipts and claim payments through banking channels / policyholder portal</w:t>
            </w:r>
          </w:p>
        </w:tc>
      </w:tr>
      <w:tr>
        <w:tc>
          <w:tcPr>
            <w:tcW w:type="dxa" w:w="1134"/>
            <w:vAlign w:val="top"/>
          </w:tcPr>
          <w:p>
            <w:pPr>
              <w:jc w:val="left"/>
            </w:pPr>
            <w:r>
              <w:rPr>
                <w:rFonts w:ascii="Arial" w:hAnsi="Arial"/>
                <w:b w:val="0"/>
                <w:i w:val="0"/>
                <w:sz w:val="18"/>
              </w:rPr>
              <w:t>27</w:t>
            </w:r>
          </w:p>
        </w:tc>
        <w:tc>
          <w:tcPr>
            <w:tcW w:type="dxa" w:w="3969"/>
            <w:vAlign w:val="top"/>
          </w:tcPr>
          <w:p>
            <w:pPr>
              <w:jc w:val="left"/>
            </w:pPr>
            <w:r>
              <w:rPr>
                <w:rFonts w:ascii="Arial" w:hAnsi="Arial"/>
                <w:b w:val="0"/>
                <w:i w:val="0"/>
                <w:sz w:val="18"/>
              </w:rPr>
              <w:t>Brought forward losses</w:t>
            </w:r>
          </w:p>
        </w:tc>
        <w:tc>
          <w:tcPr>
            <w:tcW w:type="dxa" w:w="6236"/>
            <w:vAlign w:val="top"/>
          </w:tcPr>
          <w:p>
            <w:pPr>
              <w:jc w:val="left"/>
            </w:pPr>
            <w:r>
              <w:rPr>
                <w:rFonts w:ascii="Arial" w:hAnsi="Arial"/>
                <w:b w:val="0"/>
                <w:i w:val="0"/>
                <w:sz w:val="18"/>
              </w:rPr>
              <w:t>[₹XX lakh — business loss; note: unabsorbed depreciation and business losses of insurance companies governed by Section 44 read with the First Schedule]</w:t>
            </w:r>
          </w:p>
        </w:tc>
      </w:tr>
      <w:tr>
        <w:tc>
          <w:tcPr>
            <w:tcW w:type="dxa" w:w="1134"/>
            <w:vAlign w:val="top"/>
            <w:shd w:val="clear" w:color="auto" w:fill="EBF3FB"/>
          </w:tcPr>
          <w:p>
            <w:pPr>
              <w:jc w:val="left"/>
            </w:pPr>
            <w:r>
              <w:rPr>
                <w:rFonts w:ascii="Arial" w:hAnsi="Arial"/>
                <w:b w:val="0"/>
                <w:i w:val="0"/>
                <w:sz w:val="18"/>
              </w:rPr>
              <w:t>28</w:t>
            </w:r>
          </w:p>
        </w:tc>
        <w:tc>
          <w:tcPr>
            <w:tcW w:type="dxa" w:w="3969"/>
            <w:vAlign w:val="top"/>
            <w:shd w:val="clear" w:color="auto" w:fill="EBF3FB"/>
          </w:tcPr>
          <w:p>
            <w:pPr>
              <w:jc w:val="left"/>
            </w:pPr>
            <w:r>
              <w:rPr>
                <w:rFonts w:ascii="Arial" w:hAnsi="Arial"/>
                <w:b w:val="0"/>
                <w:i w:val="0"/>
                <w:sz w:val="18"/>
              </w:rPr>
              <w:t>TDS compliance</w:t>
            </w:r>
          </w:p>
        </w:tc>
        <w:tc>
          <w:tcPr>
            <w:tcW w:type="dxa" w:w="6236"/>
            <w:vAlign w:val="top"/>
            <w:shd w:val="clear" w:color="auto" w:fill="EBF3FB"/>
          </w:tcPr>
          <w:p>
            <w:pPr>
              <w:jc w:val="left"/>
            </w:pPr>
            <w:r>
              <w:rPr>
                <w:rFonts w:ascii="Arial" w:hAnsi="Arial"/>
                <w:b w:val="0"/>
                <w:i w:val="0"/>
                <w:sz w:val="18"/>
              </w:rPr>
              <w:t>[TDS on claim payments — TDS u/s 194DA (life insurance maturity) applicable where proceeds exceed ₹1 lakh and are not exempt u/s 10(10D): ₹XX lakh deducted and deposited. TDS u/s 194D on commission to agents: ₹XX lakh. TDS returns filed for Q1-Q4. No defaults / defaults — ₹XX amount]</w:t>
            </w:r>
          </w:p>
        </w:tc>
      </w:tr>
      <w:tr>
        <w:tc>
          <w:tcPr>
            <w:tcW w:type="dxa" w:w="1134"/>
            <w:vAlign w:val="top"/>
          </w:tcPr>
          <w:p>
            <w:pPr>
              <w:jc w:val="left"/>
            </w:pPr>
            <w:r>
              <w:rPr>
                <w:rFonts w:ascii="Arial" w:hAnsi="Arial"/>
                <w:b w:val="0"/>
                <w:i w:val="0"/>
                <w:sz w:val="18"/>
              </w:rPr>
              <w:t>29</w:t>
            </w:r>
          </w:p>
        </w:tc>
        <w:tc>
          <w:tcPr>
            <w:tcW w:type="dxa" w:w="3969"/>
            <w:vAlign w:val="top"/>
          </w:tcPr>
          <w:p>
            <w:pPr>
              <w:jc w:val="left"/>
            </w:pPr>
            <w:r>
              <w:rPr>
                <w:rFonts w:ascii="Arial" w:hAnsi="Arial"/>
                <w:b w:val="0"/>
                <w:i w:val="0"/>
                <w:sz w:val="18"/>
              </w:rPr>
              <w:t>Quantitative details — N.A.</w:t>
            </w:r>
          </w:p>
        </w:tc>
        <w:tc>
          <w:tcPr>
            <w:tcW w:type="dxa" w:w="6236"/>
            <w:vAlign w:val="top"/>
          </w:tcPr>
          <w:p>
            <w:pPr>
              <w:jc w:val="left"/>
            </w:pPr>
            <w:r>
              <w:rPr>
                <w:rFonts w:ascii="Arial" w:hAnsi="Arial"/>
                <w:b w:val="0"/>
                <w:i w:val="0"/>
                <w:sz w:val="18"/>
              </w:rPr>
              <w:t>N.A. — Insurance Company</w:t>
            </w:r>
          </w:p>
        </w:tc>
      </w:tr>
      <w:tr>
        <w:tc>
          <w:tcPr>
            <w:tcW w:type="dxa" w:w="1134"/>
            <w:vAlign w:val="top"/>
            <w:shd w:val="clear" w:color="auto" w:fill="EBF3FB"/>
          </w:tcPr>
          <w:p>
            <w:pPr>
              <w:jc w:val="left"/>
            </w:pPr>
            <w:r>
              <w:rPr>
                <w:rFonts w:ascii="Arial" w:hAnsi="Arial"/>
                <w:b w:val="0"/>
                <w:i w:val="0"/>
                <w:sz w:val="18"/>
              </w:rPr>
              <w:t>30</w:t>
            </w:r>
          </w:p>
        </w:tc>
        <w:tc>
          <w:tcPr>
            <w:tcW w:type="dxa" w:w="3969"/>
            <w:vAlign w:val="top"/>
            <w:shd w:val="clear" w:color="auto" w:fill="EBF3FB"/>
          </w:tcPr>
          <w:p>
            <w:pPr>
              <w:jc w:val="left"/>
            </w:pPr>
            <w:r>
              <w:rPr>
                <w:rFonts w:ascii="Arial" w:hAnsi="Arial"/>
                <w:b w:val="0"/>
                <w:i w:val="0"/>
                <w:sz w:val="18"/>
              </w:rPr>
              <w:t>Physical verification of inventory</w:t>
            </w:r>
          </w:p>
        </w:tc>
        <w:tc>
          <w:tcPr>
            <w:tcW w:type="dxa" w:w="6236"/>
            <w:vAlign w:val="top"/>
            <w:shd w:val="clear" w:color="auto" w:fill="EBF3FB"/>
          </w:tcPr>
          <w:p>
            <w:pPr>
              <w:jc w:val="left"/>
            </w:pPr>
            <w:r>
              <w:rPr>
                <w:rFonts w:ascii="Arial" w:hAnsi="Arial"/>
                <w:b w:val="0"/>
                <w:i w:val="0"/>
                <w:sz w:val="18"/>
              </w:rPr>
              <w:t>N.A.</w:t>
            </w:r>
          </w:p>
        </w:tc>
      </w:tr>
      <w:tr>
        <w:tc>
          <w:tcPr>
            <w:tcW w:type="dxa" w:w="1134"/>
            <w:vAlign w:val="top"/>
          </w:tcPr>
          <w:p>
            <w:pPr>
              <w:jc w:val="left"/>
            </w:pPr>
            <w:r>
              <w:rPr>
                <w:rFonts w:ascii="Arial" w:hAnsi="Arial"/>
                <w:b w:val="0"/>
                <w:i w:val="0"/>
                <w:sz w:val="18"/>
              </w:rPr>
              <w:t>31</w:t>
            </w:r>
          </w:p>
        </w:tc>
        <w:tc>
          <w:tcPr>
            <w:tcW w:type="dxa" w:w="3969"/>
            <w:vAlign w:val="top"/>
          </w:tcPr>
          <w:p>
            <w:pPr>
              <w:jc w:val="left"/>
            </w:pPr>
            <w:r>
              <w:rPr>
                <w:rFonts w:ascii="Arial" w:hAnsi="Arial"/>
                <w:b w:val="0"/>
                <w:i w:val="0"/>
                <w:sz w:val="18"/>
              </w:rPr>
              <w:t>SARFAESI / Security enforcement assets</w:t>
            </w:r>
          </w:p>
        </w:tc>
        <w:tc>
          <w:tcPr>
            <w:tcW w:type="dxa" w:w="6236"/>
            <w:vAlign w:val="top"/>
          </w:tcPr>
          <w:p>
            <w:pPr>
              <w:jc w:val="left"/>
            </w:pPr>
            <w:r>
              <w:rPr>
                <w:rFonts w:ascii="Arial" w:hAnsi="Arial"/>
                <w:b w:val="0"/>
                <w:i w:val="0"/>
                <w:sz w:val="18"/>
              </w:rPr>
              <w:t>N.A.</w:t>
            </w:r>
          </w:p>
        </w:tc>
      </w:tr>
      <w:tr>
        <w:tc>
          <w:tcPr>
            <w:tcW w:type="dxa" w:w="1134"/>
            <w:vAlign w:val="top"/>
            <w:shd w:val="clear" w:color="auto" w:fill="EBF3FB"/>
          </w:tcPr>
          <w:p>
            <w:pPr>
              <w:jc w:val="left"/>
            </w:pPr>
            <w:r>
              <w:rPr>
                <w:rFonts w:ascii="Arial" w:hAnsi="Arial"/>
                <w:b w:val="0"/>
                <w:i w:val="0"/>
                <w:sz w:val="18"/>
              </w:rPr>
              <w:t>32</w:t>
            </w:r>
          </w:p>
        </w:tc>
        <w:tc>
          <w:tcPr>
            <w:tcW w:type="dxa" w:w="3969"/>
            <w:vAlign w:val="top"/>
            <w:shd w:val="clear" w:color="auto" w:fill="EBF3FB"/>
          </w:tcPr>
          <w:p>
            <w:pPr>
              <w:jc w:val="left"/>
            </w:pPr>
            <w:r>
              <w:rPr>
                <w:rFonts w:ascii="Arial" w:hAnsi="Arial"/>
                <w:b w:val="0"/>
                <w:i w:val="0"/>
                <w:sz w:val="18"/>
              </w:rPr>
              <w:t>Dividend income exempt u/s 10(34)</w:t>
            </w:r>
          </w:p>
        </w:tc>
        <w:tc>
          <w:tcPr>
            <w:tcW w:type="dxa" w:w="6236"/>
            <w:vAlign w:val="top"/>
            <w:shd w:val="clear" w:color="auto" w:fill="EBF3FB"/>
          </w:tcPr>
          <w:p>
            <w:pPr>
              <w:jc w:val="left"/>
            </w:pPr>
            <w:r>
              <w:rPr>
                <w:rFonts w:ascii="Arial" w:hAnsi="Arial"/>
                <w:b w:val="0"/>
                <w:i w:val="0"/>
                <w:sz w:val="18"/>
              </w:rPr>
              <w:t>[₹XX lakh / NIL — note: dividend from domestic companies was exempt u/s 10(34) prior to AY 2021-22; taxable at applicable rate thereafter]</w:t>
            </w:r>
          </w:p>
        </w:tc>
      </w:tr>
      <w:tr>
        <w:tc>
          <w:tcPr>
            <w:tcW w:type="dxa" w:w="1134"/>
            <w:vAlign w:val="top"/>
          </w:tcPr>
          <w:p>
            <w:pPr>
              <w:jc w:val="left"/>
            </w:pPr>
            <w:r>
              <w:rPr>
                <w:rFonts w:ascii="Arial" w:hAnsi="Arial"/>
                <w:b w:val="0"/>
                <w:i w:val="0"/>
                <w:sz w:val="18"/>
              </w:rPr>
              <w:t>33</w:t>
            </w:r>
          </w:p>
        </w:tc>
        <w:tc>
          <w:tcPr>
            <w:tcW w:type="dxa" w:w="3969"/>
            <w:vAlign w:val="top"/>
          </w:tcPr>
          <w:p>
            <w:pPr>
              <w:jc w:val="left"/>
            </w:pPr>
            <w:r>
              <w:rPr>
                <w:rFonts w:ascii="Arial" w:hAnsi="Arial"/>
                <w:b w:val="0"/>
                <w:i w:val="0"/>
                <w:sz w:val="18"/>
              </w:rPr>
              <w:t>Section 80G / 80GGC deductions</w:t>
            </w:r>
          </w:p>
        </w:tc>
        <w:tc>
          <w:tcPr>
            <w:tcW w:type="dxa" w:w="6236"/>
            <w:vAlign w:val="top"/>
          </w:tcPr>
          <w:p>
            <w:pPr>
              <w:jc w:val="left"/>
            </w:pPr>
            <w:r>
              <w:rPr>
                <w:rFonts w:ascii="Arial" w:hAnsi="Arial"/>
                <w:b w:val="0"/>
                <w:i w:val="0"/>
                <w:sz w:val="18"/>
              </w:rPr>
              <w:t>[NIL / ₹XX lakh]</w:t>
            </w:r>
          </w:p>
        </w:tc>
      </w:tr>
      <w:tr>
        <w:tc>
          <w:tcPr>
            <w:tcW w:type="dxa" w:w="1134"/>
            <w:vAlign w:val="top"/>
            <w:shd w:val="clear" w:color="auto" w:fill="EBF3FB"/>
          </w:tcPr>
          <w:p>
            <w:pPr>
              <w:jc w:val="left"/>
            </w:pPr>
            <w:r>
              <w:rPr>
                <w:rFonts w:ascii="Arial" w:hAnsi="Arial"/>
                <w:b w:val="0"/>
                <w:i w:val="0"/>
                <w:sz w:val="18"/>
              </w:rPr>
              <w:t>34-35</w:t>
            </w:r>
          </w:p>
        </w:tc>
        <w:tc>
          <w:tcPr>
            <w:tcW w:type="dxa" w:w="3969"/>
            <w:vAlign w:val="top"/>
            <w:shd w:val="clear" w:color="auto" w:fill="EBF3FB"/>
          </w:tcPr>
          <w:p>
            <w:pPr>
              <w:jc w:val="left"/>
            </w:pPr>
            <w:r>
              <w:rPr>
                <w:rFonts w:ascii="Arial" w:hAnsi="Arial"/>
                <w:b w:val="0"/>
                <w:i w:val="0"/>
                <w:sz w:val="18"/>
              </w:rPr>
              <w:t>MAT / AMT — Section 115JB</w:t>
            </w:r>
          </w:p>
        </w:tc>
        <w:tc>
          <w:tcPr>
            <w:tcW w:type="dxa" w:w="6236"/>
            <w:vAlign w:val="top"/>
            <w:shd w:val="clear" w:color="auto" w:fill="EBF3FB"/>
          </w:tcPr>
          <w:p>
            <w:pPr>
              <w:jc w:val="left"/>
            </w:pPr>
            <w:r>
              <w:rPr>
                <w:rFonts w:ascii="Arial" w:hAnsi="Arial"/>
                <w:b w:val="0"/>
                <w:i w:val="0"/>
                <w:sz w:val="18"/>
              </w:rPr>
              <w:t>[Applicable — MAT computed at 15% of book profit; MAT credit: ₹XX lakh / Not applicable — check if insurance company is a banking company exempt from Sec 115JB via Second Proviso]</w:t>
            </w:r>
          </w:p>
        </w:tc>
      </w:tr>
      <w:tr>
        <w:tc>
          <w:tcPr>
            <w:tcW w:type="dxa" w:w="1134"/>
            <w:vAlign w:val="top"/>
          </w:tcPr>
          <w:p>
            <w:pPr>
              <w:jc w:val="left"/>
            </w:pPr>
            <w:r>
              <w:rPr>
                <w:rFonts w:ascii="Arial" w:hAnsi="Arial"/>
                <w:b w:val="0"/>
                <w:i w:val="0"/>
                <w:sz w:val="18"/>
              </w:rPr>
              <w:t>36</w:t>
            </w:r>
          </w:p>
        </w:tc>
        <w:tc>
          <w:tcPr>
            <w:tcW w:type="dxa" w:w="3969"/>
            <w:vAlign w:val="top"/>
          </w:tcPr>
          <w:p>
            <w:pPr>
              <w:jc w:val="left"/>
            </w:pPr>
            <w:r>
              <w:rPr>
                <w:rFonts w:ascii="Arial" w:hAnsi="Arial"/>
                <w:b w:val="0"/>
                <w:i w:val="0"/>
                <w:sz w:val="18"/>
              </w:rPr>
              <w:t>Audit objections</w:t>
            </w:r>
          </w:p>
        </w:tc>
        <w:tc>
          <w:tcPr>
            <w:tcW w:type="dxa" w:w="6236"/>
            <w:vAlign w:val="top"/>
          </w:tcPr>
          <w:p>
            <w:pPr>
              <w:jc w:val="left"/>
            </w:pPr>
            <w:r>
              <w:rPr>
                <w:rFonts w:ascii="Arial" w:hAnsi="Arial"/>
                <w:b w:val="0"/>
                <w:i w:val="0"/>
                <w:sz w:val="18"/>
              </w:rPr>
              <w:t>[NIL / ₹XX lakh — pending tax demands appealed before CIT(A) / ITAT]</w:t>
            </w:r>
          </w:p>
        </w:tc>
      </w:tr>
      <w:tr>
        <w:tc>
          <w:tcPr>
            <w:tcW w:type="dxa" w:w="1134"/>
            <w:vAlign w:val="top"/>
            <w:shd w:val="clear" w:color="auto" w:fill="EBF3FB"/>
          </w:tcPr>
          <w:p>
            <w:pPr>
              <w:jc w:val="left"/>
            </w:pPr>
            <w:r>
              <w:rPr>
                <w:rFonts w:ascii="Arial" w:hAnsi="Arial"/>
                <w:b w:val="0"/>
                <w:i w:val="0"/>
                <w:sz w:val="18"/>
              </w:rPr>
              <w:t>37</w:t>
            </w:r>
          </w:p>
        </w:tc>
        <w:tc>
          <w:tcPr>
            <w:tcW w:type="dxa" w:w="3969"/>
            <w:vAlign w:val="top"/>
            <w:shd w:val="clear" w:color="auto" w:fill="EBF3FB"/>
          </w:tcPr>
          <w:p>
            <w:pPr>
              <w:jc w:val="left"/>
            </w:pPr>
            <w:r>
              <w:rPr>
                <w:rFonts w:ascii="Arial" w:hAnsi="Arial"/>
                <w:b w:val="0"/>
                <w:i w:val="0"/>
                <w:sz w:val="18"/>
              </w:rPr>
              <w:t>ICDS deviations</w:t>
            </w:r>
          </w:p>
        </w:tc>
        <w:tc>
          <w:tcPr>
            <w:tcW w:type="dxa" w:w="6236"/>
            <w:vAlign w:val="top"/>
            <w:shd w:val="clear" w:color="auto" w:fill="EBF3FB"/>
          </w:tcPr>
          <w:p>
            <w:pPr>
              <w:jc w:val="left"/>
            </w:pPr>
            <w:r>
              <w:rPr>
                <w:rFonts w:ascii="Arial" w:hAnsi="Arial"/>
                <w:b w:val="0"/>
                <w:i w:val="0"/>
                <w:sz w:val="18"/>
              </w:rPr>
              <w:t>[ICDS I (Accounting Policies): NIL deviation; ICDS IV (Revenue Recognition — premium income): NIL; ICDS IX (Borrowing Costs): NIL. Insurance-specific ICDS issues: Premium reserves and claims outstanding — difference between ICDS basis and AS / IRDAI basis: ₹XX lakh]</w:t>
            </w:r>
          </w:p>
        </w:tc>
      </w:tr>
      <w:tr>
        <w:tc>
          <w:tcPr>
            <w:tcW w:type="dxa" w:w="1134"/>
            <w:vAlign w:val="top"/>
          </w:tcPr>
          <w:p>
            <w:pPr>
              <w:jc w:val="left"/>
            </w:pPr>
            <w:r>
              <w:rPr>
                <w:rFonts w:ascii="Arial" w:hAnsi="Arial"/>
                <w:b w:val="0"/>
                <w:i w:val="0"/>
                <w:sz w:val="18"/>
              </w:rPr>
              <w:t>38</w:t>
            </w:r>
          </w:p>
        </w:tc>
        <w:tc>
          <w:tcPr>
            <w:tcW w:type="dxa" w:w="3969"/>
            <w:vAlign w:val="top"/>
          </w:tcPr>
          <w:p>
            <w:pPr>
              <w:jc w:val="left"/>
            </w:pPr>
            <w:r>
              <w:rPr>
                <w:rFonts w:ascii="Arial" w:hAnsi="Arial"/>
                <w:b w:val="0"/>
                <w:i w:val="0"/>
                <w:sz w:val="18"/>
              </w:rPr>
              <w:t>Deemed dividend — Section 2(22)(e)</w:t>
            </w:r>
          </w:p>
        </w:tc>
        <w:tc>
          <w:tcPr>
            <w:tcW w:type="dxa" w:w="6236"/>
            <w:vAlign w:val="top"/>
          </w:tcPr>
          <w:p>
            <w:pPr>
              <w:jc w:val="left"/>
            </w:pPr>
            <w:r>
              <w:rPr>
                <w:rFonts w:ascii="Arial" w:hAnsi="Arial"/>
                <w:b w:val="0"/>
                <w:i w:val="0"/>
                <w:sz w:val="18"/>
              </w:rPr>
              <w:t>[NIL / ₹XX lakh — details]</w:t>
            </w:r>
          </w:p>
        </w:tc>
      </w:tr>
      <w:tr>
        <w:tc>
          <w:tcPr>
            <w:tcW w:type="dxa" w:w="1134"/>
            <w:vAlign w:val="top"/>
            <w:shd w:val="clear" w:color="auto" w:fill="EBF3FB"/>
          </w:tcPr>
          <w:p>
            <w:pPr>
              <w:jc w:val="left"/>
            </w:pPr>
            <w:r>
              <w:rPr>
                <w:rFonts w:ascii="Arial" w:hAnsi="Arial"/>
                <w:b w:val="0"/>
                <w:i w:val="0"/>
                <w:sz w:val="18"/>
              </w:rPr>
              <w:t>Special Note</w:t>
            </w:r>
          </w:p>
        </w:tc>
        <w:tc>
          <w:tcPr>
            <w:tcW w:type="dxa" w:w="3969"/>
            <w:vAlign w:val="top"/>
            <w:shd w:val="clear" w:color="auto" w:fill="EBF3FB"/>
          </w:tcPr>
          <w:p>
            <w:pPr>
              <w:jc w:val="left"/>
            </w:pPr>
            <w:r>
              <w:rPr>
                <w:rFonts w:ascii="Arial" w:hAnsi="Arial"/>
                <w:b w:val="0"/>
                <w:i w:val="0"/>
                <w:sz w:val="18"/>
              </w:rPr>
              <w:t>First Schedule to the Income Tax Act, 1961 (Sections 44 and Rule 2, 5, 6) contains special provisions for computing profits of insurance business. Taxable income for Life Insurance = Actuarial surplus certified by Appointed Actuary + investment income. For General Insurance = Net premium income + investment income - incurred claims - allowed expenses per Rule 5. Tax computation prepared separately on this basis.</w:t>
            </w:r>
          </w:p>
        </w:tc>
        <w:tc>
          <w:tcPr>
            <w:tcW w:type="dxa" w:w="6236"/>
            <w:vAlign w:val="top"/>
            <w:shd w:val="clear" w:color="auto" w:fill="EBF3FB"/>
          </w:tcPr>
          <w:p>
            <w:pPr>
              <w:jc w:val="left"/>
            </w:pPr>
            <w:r>
              <w:rPr>
                <w:rFonts w:ascii="Arial" w:hAnsi="Arial"/>
                <w:b w:val="0"/>
                <w:i w:val="0"/>
                <w:sz w:val="18"/>
              </w:rPr>
            </w:r>
          </w:p>
        </w:tc>
      </w:tr>
    </w:tbl>
    <w:p/>
    <w:p>
      <w:pPr>
        <w:spacing w:before="80" w:after="80"/>
        <w:jc w:val="left"/>
      </w:pPr>
      <w:r>
        <w:rPr>
          <w:rFonts w:ascii="Arial" w:hAnsi="Arial"/>
          <w:b w:val="0"/>
          <w:i/>
          <w:sz w:val="18"/>
        </w:rPr>
        <w:t>Note: This working paper is for data compilation. The actual Form 3CD is to be filed electronically on the Income Tax portal. Insurance companies have special provisions under the First Schedule to the Income Tax Act, 1961 — tax computation must be prepared on the prescribed basis (not simply from the commercial P&amp;L).</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Form 3CD — Tax Audit — Insurance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27801A3-6FF8-440E-BBD1-272C144E3C9E}"/>
</file>

<file path=customXml/itemProps3.xml><?xml version="1.0" encoding="utf-8"?>
<ds:datastoreItem xmlns:ds="http://schemas.openxmlformats.org/officeDocument/2006/customXml" ds:itemID="{E4223209-17C6-4BC9-92DF-30D39AB2D2AA}"/>
</file>

<file path=customXml/itemProps4.xml><?xml version="1.0" encoding="utf-8"?>
<ds:datastoreItem xmlns:ds="http://schemas.openxmlformats.org/officeDocument/2006/customXml" ds:itemID="{0F33E967-DF69-4B44-A7BE-786B144FD7E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