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INVESTMENTS &amp; TREASURY (NBFC — FAIR VALUE, RBI NORMS, DERIVATIVES)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NB.INV.00  |  Framework: AS / Ind AS (noted per procedure)  |  Governing: RBI Master Direction — NBFC SBR 2023 — Investment Norms; Ind AS 109 / AS 13; ICAI Technical Guide on Audit of NBFCs (2023 Edition)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Technical Guide on Audit of NBFCs (2023 Edition) — Chapter 7 (Investments and Treasury)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Fair Value Measurement (Equity, MF Units, Bonds)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CLS]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investments are incorrectly measured — quoted equities not at closing market price, unquoted instruments using incorrect valuation technique, or FVTPL/FVTOCI classification inconsistent with business model.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each investment category: (a) Quoted equities / MF units: agree fair value to BSE/NSE closing price (equity) or NAV (MF units) as at 31 March; (b) Quoted bonds / debentures: agree to FIMMDA yield-based price; (c) Unquoted equity investments: review valuation technique (DCF / NAV / Market Comparable); assess reasonableness of assumptions; (d) Verify FVTPL vs FVTOCI classification per Ind AS 109 business model assessment (for AS: HTM/AFS/current/long-term per AS 13); (e) Agree total investment balance to lead schedule and Schedule II (Ind AS) or Schedule of Investments (AS). Expected outcome: Fair values agree to market sources; classification consistent with business model. Exception protocol: Stale or incorrect FV — propose correction. Assertion: [VAL, ACC, CLS]. Reference: SA 540, Para 8–15; SA 500, Para 7.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(Classification and Measurement); Ind AS 113 (Fair Value); AS 13 (Investments)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Fair value verification for investment portfolio; variance vs management's FV schedule]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RBI Investment Norms for NBFCs (Category &amp; Limit Compliance)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NBFC investments violate RBI-prescribed categories (e.g., investing in rated instruments only), limits, or inter-group investment restrictions.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investment register. Verify: (a) All debt investments are in rated instruments (minimum BBB- or equivalent as per RBI SBR 2023 investment norms); (b) Investments in equity of other companies: verify compliance with RBI limits (Upper Layer NBFCs — equity investments ≤ 10% of owned funds per investee company; aggregate equity investments ≤ [applicable limit]); (c) Inter-group investments: confirm no disguised lending through equity / debenture investment in group companies without RBI approval; (d) SLR-type holdings (if applicable): confirm HQLA holdings for LCR compliance (Upper Layer NBFCs); (e) Confirm no investment in land / buildings / movable property (prohibited per Section 45IB, RBI Act). Expected outcome: All investments comply with RBI norms; no prohibited investments. Exception protocol: Non-compliant investment — quantify; report under SA 250. Assertion: [COM, EXI, VAL]. Reference: SA 250, Para 14; SA 330, Para 18.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Investment Norms; RBI Act 1934, Section 45IB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investment register review against RBI-prescribed categories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Structured Products, Derivatives &amp; Hedge Accounting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derivative financial instruments are not recognised at fair value on balance sheet, or that hedge accounting is applied incorrectly (hedge relationship documentation missing, ineffectiveness not tested).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(if material)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Expert)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if NBFC has material derivative positions (interest rate swaps, forex forwards, commodity derivatives): (a) Obtain derivatives register — notional, fair value as at 31 March, designation (hedge / non-hedge); (b) For fair values: agree to counterparty bank mark-to-market statements (for bilateral OTC) or exchange settlement prices (for exchange-traded); (c) For instruments designated as hedges under Ind AS 109 / AS 30 (if applicable): verify: (i) hedge documentation at inception (hedging relationship, risk being hedged, hedging instrument, expected effectiveness method); (ii) effectiveness test results at year end (80–125% retrospective test for AS 30; regression / dollar-offset for Ind AS 109); (d) For non-hedge derivatives: confirm all FV movements recognised in P&amp;L (FVTPL). Expected outcome: All derivatives at fair value; hedge accounting valid where applied. Exception protocol: Unrecognised derivative / invalid hedge accounting — recognise at FV; reverse hedge accounting if ineffective. Assertion: [VAL, ACC, COM]. Reference: SA 540, Para 8–15; SA 620, Para 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620, Para 8;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— Hedge Accounting (Chapter 6); AS 30 (where applicable); Ind AS 113 (Fair Value); RBI Master Direction — Hedging of Commodities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obtain MTM statements from bank counterparties; consider SA 620 for complex derivative valuations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F2FD10-6009-47AC-9C61-36C2063594C4}"/>
</file>

<file path=customXml/itemProps3.xml><?xml version="1.0" encoding="utf-8"?>
<ds:datastoreItem xmlns:ds="http://schemas.openxmlformats.org/officeDocument/2006/customXml" ds:itemID="{8BEFB3A2-69A2-412F-A916-C2D42ECBF660}"/>
</file>

<file path=customXml/itemProps4.xml><?xml version="1.0" encoding="utf-8"?>
<ds:datastoreItem xmlns:ds="http://schemas.openxmlformats.org/officeDocument/2006/customXml" ds:itemID="{59767CEE-2E52-4342-B500-73E6240DF9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