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LOAN PORTFOLIO &amp; ASSET CLASSIFICATION (NBFC — FUND-BASED LENDING)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NB.LOAN.00  |  Framework: AS / Ind AS (noted per procedure)  |  Governing: RBI Master Direction — NBFC Scale Based Regulation 2023; RBI Prudential Norms Direction (NBFC); ICAI Technical Guide on Audit of NBFCs (2023 Edition)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Technical Guide on Audit of NBFCs (2023 Edition) — Chapter 5 (Loans and Advances); Chapter 6 (Income Recognition and Asset Classification)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 Portfolio — Lead Schedule &amp; GL Reconciliation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the loan portfolio lead schedule does not reconcile to the GL, or opening balances differ from prior-year audited figures.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loan lead schedule as at 31.03.[YYYY] — product-wise (HL, LAP, Business Loan, MFI, Gold Loan, Vehicle etc.). Cast all columns; agree totals to GL loan accounts. Agree opening balances to prior-year audit file. Expected outcome: Agrees within ₹0. Exception protocol: Reconcile with F&amp;A before proceeding. Assertion: [EXI, COM, VAL]. Reference: SA 510, Para 6–9; SA 500, Para 7.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510, Para 6–9;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109 / AS 13 — Loans; RBI Prudential Norms Direction (NBFC)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 Origination &amp; Disbursement Controls — Walkthrough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[OCC, ACC,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loans are disbursed without completing credit assessment, KYC/AML checks, or legal documentation, leading to unrecorded risk or fictitious loans.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Walkthrough)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Perform a walkthrough of the loan origination process: (a) For a sample of 20 disbursements during the year (across product types by value): verify credit appraisal (credit score / bureau report, income assessment / FOIR, LTV for secured loans); confirm KYC OVDs obtained pre-disbursement; confirm security creation (mortgage/hypothecation) for secured loans; verify disbursement is to the borrower's registered account (not third-party cash payment); (b) For digital loans: confirm RBI Digital Lending Guidelines (Sep 2022) LSP authorization, KFS (Key Fact Statement) provided, cooling-off period documented. Expected outcome: All 20 disbursements complete documentation; no cash disbursements above ₹20,000. Exception protocol: Incomplete documentation — quantify and report; cash disbursement violation — SA 250 reporting. Assertion: [OCC, ACC, EXI]. Reference: SA 330, Para 18–25; SA 250, Para 14.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330, Para 18–25;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on Digital Lending (Sep 2022); RBI Master Direction — NBFC SBR 2023 — Loan Origination; FEMA 1999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T-03 Corporate Intelligence (intel.varma.ai) — Adverse media and bureau verification for sampled borrowers]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NPA Identification — GNPA / NNPA Computation (RBI Prudential Norms)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VAL,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NPAs are understated due to incorrect DPD (Days Past Due) computation, manual override of system NPA flags, or failure to upgrade/downgrade accounts per RBI norms.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CAATs)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NPA list as at 31.03.[YYYY] from the loan management system (LMS). (a) For a sample of 30 accounts (15 suspected NPAs, 15 standard accounts near 90-DPD): recompute DPD from last due date to 31 March using payment history; verify NPA classification (Sub-Standard: &lt; 12 months NPA; Doubtful I/II/III; Loss); (b) CAATs: run ageing of all outstanding accounts by DPD; identify any accounts with DPD ≥ 90 not flagged as NPA in LMS; (c) For upgraded accounts (NPA to Standard): verify all overdue instalments paid and upgrade approved per RBI norms (minimum 1 year satisfactory performance post-upgrade); (d) Compute GNPA ratio = Gross NPA / Gross Advances and NNPA ratio = Net NPA / Net Advances; agree to disclosed ratios. Expected outcome: No standard accounts with DPD ≥ 90; NPA ratios agree to disclosure. Exception protocol: Understated NPA — reclassify; recompute provisioning in WP-LOAN-04. Assertion: [EXI, VAL, COM]. Reference: SA 240, Para 32; SA 330, Para 18–25.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240, Para 32; SA 330, Para 18–25; SA 540, Para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Prudential Norms (NPA Classification); RBI Circular — NPA Recognition — 90 DPD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DPD ageing of full loan portfolio; NPA flag cross-check; identify accounts ≥ 90 DPD without NPA flag]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ECL Provisioning — Stage 1 / 2 / 3 (Ind AS 109)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ACC,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ECL provisions are materially misstated — Stage classification is incorrect, PD/LGD/EAD assumptions are unreasonable, or the ECL model has not been validated.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Expert Review)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Applicable to Ind AS NBFCs (Upper and Middle Layer): (a) Obtain ECL model documentation — staging criteria (12-month PD for Stage 1; significant credit deterioration triggers for Stage 2; lifetime PD for Stage 3); (b) For a sample of 30 accounts (10 per stage): verify stage assignment is consistent with DPD (Stage 1: 0–30 DPD; Stage 2: typically 31–89 DPD + SICR triggers; Stage 3: 90+ DPD); (c) Assess reasonableness of PD, LGD, EAD assumptions — compare to RBI sectoral default data; assess whether macro-economic forward-looking adjustments (FLA) are reasonable (post-COVID recovery, sector stress); (d) If an internal or external ECL model is used: review the model validation report (at least annual); confirm model is applied consistently with prior year; (e) Compute ECL = PD × LGD × EAD for sample; compare to management's ECL schedule. Expected outcome: Stage assignments agree to DPD; ECL within reasonable range of recomputed estimates. Exception protocol: Material understatement — propose higher provision; if ECL model is unreliable, consider SA 620 engagement of expert. Assertion: [VAL, ACC, COM]. Reference: SA 540, Para 8–15; SA 620, Para 8.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620, Para 8; SA 330, Para 18–25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109 — Financial Instruments (Impairment); Ind AS 107 — Disclosures; RBI Master Direction on ECL (if issued)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ECL model output vs recomputed PD×LGD×EAD for sampled accounts; stage migration analysis]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Restructured / Modified Loan Review — FOIR &amp; Terms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ACC,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restructured loans are not identified as Stage 2 / NPA, or that concessions granted (rate reduction, tenor extension) constitute de-recognition events under Ind AS 109 not accounted for.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list of accounts restructured / modified during the year (OTR, COVID-19 restructuring, normal restructuring). (a) For each restructured account: confirm it was placed in Stage 2 (at minimum) at the time of restructuring; verify classification was not upgraded to Stage 1 within the 90-day probation period per RBI COVID restructuring circular; (b) Under Ind AS 109: for 10 sampled modifications — compute whether modification is substantial (≥ 10% difference in PV of cash flows using original effective interest rate); if substantial — de-recognise old loan, recognise new loan at fair value, book gain/loss; if not substantial — recognise modification gain/loss in P&amp;L; (c) Confirm FOIR (Fixed Obligation to Income Ratio) post-restructuring is documented; (d) For AS NBFCs: verify restructured accounts are in 'Restructured Standard', 'Restructured Sub-Standard', etc. per RBI Prudential Norms. Expected outcome: All restructured accounts in Stage 2 or NPA; modification accounting applied per Ind AS 109 / RBI norms. Exception protocol: Misclassified restructured loan — reclassify; propose additional ECL provision. Assertion: [EXI, ACC, VAL]. Reference: SA 540, Para 8–15; SA 330, Para 18.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330, Para 18;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109, Para 5.4 (Modifications); RBI Circular on COVID-19 Regulatory Package; RBI Master Direction — NBFC Prudential Norms — Restructured Accounts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Top 10 Borrower Concentration Analysis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VAL,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concentration to top borrowers creates unidentified credit risk, or that single / group borrower exposure limits are exceeded.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Analytics)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list of top 10 borrowers by aggregate outstanding as at 31 March. (a) For each: verify exposure (fund + non-fund based) against RBI single borrower limit (15% of owned funds) and group borrower limit (25% of owned funds); confirm owned funds figure from capital computation; (b) Assess credit quality of top 10 — NPA / SMA status; last credit review date; collateral coverage; (c) Compute: Top 10 exposure / Gross AUM — flag if &gt; 30% as concentration risk; (d) Compare top 10 list to prior year — identify new entrants (rapid growth in large exposures may indicate connected lending). [Tool: T-03 Corporate Intelligence (intel.varma.ai) — Verify corporate profile, group companies, and adverse media for top 10 borrowers] Expected outcome: No exposure exceeds single/group borrower limits; top 10 in performing category. Exception protocol: Limit breach — propose reduction plan; report in management letter. Assertion: [EXI, VAL, COM]. Reference: SA 315, Para 28; SA 330, Para 18.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315, Para 28; SA 330, Para 18; SA 520, Para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Single Borrower and Group Borrower Limits (15% / 25% of Owned Funds)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Concentration analytics; top-10 exposure % of AUM; trend vs prior year]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Securitisation &amp; Direct Assignment of Receivables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securitised assets are incorrectly de-recognised (continuing involvement not identified), or that the NBFC retains residual risk that should be disclosed.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securitisation register for the year (all pools assigned / securitised). (a) For each securitisation / DA transaction: verify de-recognition criteria under Ind AS 109 (transfer of substantially all risks and rewards); if minimum retention (MRR — 10% for term loans per RBI) retained: confirm MRR is retained on balance sheet as investment in PTCs; (b) Confirm excess spread (residual interest strips) is recognised at fair value as a retained interest; (c) For direct assignment transactions: verify the DA certificate, pool composition, credit enhancement level, and servicer role documentation; (d) Confirm off-balance sheet DA pools are disclosed in notes (Schedule III / Ind AS 107 — transferred financial assets); (e) Under AS: verify derecognition per AS 19 / AS 13 as applicable; confirm securitisation losses booked immediately. Expected outcome: De-recognition appropriate; MRR on balance sheet; retained interests at fair value; full disclosure. Exception protocol: Improper derecognition — bring back on balance sheet; compute additional provision. Assertion: [EXI, COM, VAL]. Reference: SA 540, Para 8; SA 500, Para 7.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8; SA 500, Para 7;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109, Para 3.2 (Derecognition); RBI Master Direction on Securitisation (Sep 2021); RBI Master Direction on Direct Assignment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review DA certificates and pool statements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WP-LOAN-07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Collections &amp; Recovery — Provisioning Policy Compliance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ACC,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collections are incorrectly allocated between principal and interest (reversing overstatement of income), or that recoveries from written-off accounts are not correctly recognised.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collections data for the year from the LMS. (a) For a sample of 20 NPA accounts with part-payments received: verify that collections are first applied to interest, then principal (per RBI prudential norms — income recognition on NPA accounts is cash basis only); confirm no income recognised on NPA accounts beyond actual cash collected; (b) For written-off accounts with recovery during the year: confirm recovery is credited to provision (P&amp;L — reduction of credit loss charge) not to loan asset; (c) Verify provisioning policy compliance: for the sampled NPA accounts, recompute required provision (Sub-Standard: 15% for secured, 25% for unsecured; Doubtful I: 25%–100% depending on collateral; Loss: 100%); compare to booked provision; (d) For SARFAESI actions taken: verify security valuation is current (within 6 months); collateral shortfall provisioned. Expected outcome: Cash basis income on NPA; recoveries correctly treated; provisions adequate. Exception protocol: Provision shortfall — propose additional provision; if material, consider qualification. Assertion: [VAL, ACC, COM]. Reference: SA 540, Para 8; SA 330, Para 18–25.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8; SA 330, Para 18–25; SA 520, Para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Prudential Norms Direction (NBFC) — NPA Provisioning Requirements; SARFAESI Act 2002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NPA provisioning adequacy computation; collection allocation analysis for sampled accounts]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WP-LOAN-08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7D7DF8-705D-4DF6-847B-5C7CC513913D}"/>
</file>

<file path=customXml/itemProps3.xml><?xml version="1.0" encoding="utf-8"?>
<ds:datastoreItem xmlns:ds="http://schemas.openxmlformats.org/officeDocument/2006/customXml" ds:itemID="{7AF6B3A7-FA79-4BB3-B739-D5C07B78CEC4}"/>
</file>

<file path=customXml/itemProps4.xml><?xml version="1.0" encoding="utf-8"?>
<ds:datastoreItem xmlns:ds="http://schemas.openxmlformats.org/officeDocument/2006/customXml" ds:itemID="{9D869F68-B8B6-4593-9CA4-6A6A7FF238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