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REGULATORY COMPLIANCE (NBFC — NOF, CRAR, LEVERAGE, NBS RETURNS, CERSAI, CRILC, FPC, KYC/AML, SBR, IT AUDIT)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NB.REG.00  |  Framework: AS / Ind AS (noted per procedure)  |  Governing: RBI Master Direction — NBFC Scale Based Regulation 2023; RBI Prudential Norms Direction; PMLA 2002;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Technical Guide on Audit of NBFCs (2023 Edition) — Chapter 9 (Regulatory Compliance); Chapter 10 (Reporting Requirements)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Net Owned Fund (NOF) — Computation &amp;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NOF is overstated (ineligible items included) leading to CRAR and deposit ceiling misstatement.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Recompute NOF = Tier I Capital (paid-up equity + free reserves + share premium + capital reserve + retained earnings) less deductions (accumulated losses, intangibles, DTA above threshold, investments in subsidiaries and group companies exceeding limit). Agree Tier I components to GL / balance sheet. Verify deductions are complete. Confirm NOF ≥ ₹10 crore (for Base Layer NBFCs) / ₹100 crore (for Middle Layer) / ₹500 crore (for Upper Layer) or applicable threshold per RBI SBR 2023. Expected outcome: NOF recomputes within ₹[materiality]; meets regulatory minimum. Exception protocol: Below minimum — going concern assessment (SA 570); regulatory reporting. Assertion: [EXI, VAL, COM]. Reference: SA 570, Para 16;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570, Para 16; SA 250, Para 14; SA 540, Para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Net Owned Fund Definition and Minimum Requirements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GL and balance sheet cross-reference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CRAR — Tier I &amp; Tier II Capital Adequacy Computation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CRAR is overstated through ineligible capital items, incorrect risk weights, or failure to apply required haircuts to Tier II instruments.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CRAR computation. Verify: (a) Tier I: same as NOF plus any eligible AT1 instruments; (b) Tier II: sub-debt (haircut applied per residual maturity); general provisions (capped at 1.25% of RWA); (c) RWA: verify risk weights for loan categories (100% for standard corporate loans, 125% for consumer credit, 150% for CRE, 75% for MSME retail if compliant); for a sample of 20 exposures — recompute RWA; (d) Minimum CRAR: Middle Layer ≥ 15%; Upper Layer ≥ 15% (plus CCB if applicable); Base Layer — no CRAR requirement but NOF minimum applies. Expected outcome: CRAR meets applicable minimum. Exception protocol: Below minimum — SA 570; immediate escalation. Assertion: [EXI, VAL, COM]. Reference: SA 570; SA 250;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570, Para 16; SA 250, Para 14; SA 540, Para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CRAR Requirements (Middle and Upper Layer)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RWA recomputation for sampled exposures]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Leverage Ratio Compliance (Upper Layer NBFCs)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Upper Layer NBFC's leverage (total assets / Tier I capital) exceeds RBI limit of 7× without RBI approval.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(Upper Layer only)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Applicable to Upper Layer NBFCs only. Compute leverage ratio = Total On-Balance Sheet Assets / Tier I Capital. Verify: (a) Total assets per balance sheet; (b) Tier I from CRAR computation (WP-REG-02); (c) Ratio ≤ 7× (or applicable RBI-specified limit); (d) If off-balance sheet exposures are material — assess whether RBI requires inclusion in leverage computation; (e) Compare to prior year trend — increasing leverage towards limit is an early warning indicator. Expected outcome: Leverage ≤ 7×. Exception protocol: Exceeds 7× — regulatory violation; SA 570 assessment; report to management and TCWG. Assertion: [COM, EXI, VAL]. Reference: SA 570;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570, Para 16;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Leverage Ratio for Upper Layer NBFCs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leverage ratio computation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Returns Verification — NBS-1, NBS-2, NBS-4, NBS-6, NBS-7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RBI statutory returns contain incorrect data (not reconciling to financial statements) or that returns are not filed within prescribed timelines.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copies of all RBI statutory returns filed during the year. (a) NBS-1 (Deposits and Borrowings — quarterly): agree total deposits and borrowings to balance sheet; (b) NBS-2 (Assets and Liabilities — half-yearly): agree total assets to balance sheet; (c) NBS-4 (Annual Return of NBFC-ND-SI): agree NOF, CRAR, NPA ratios to workpapers; (d) NBS-6 (Quarterly return — exposure, concentration): agree top borrower exposure to WP-LOAN-06; (e) NBS-7 (Annual Financial Return — NBFC-D): agree deposit total to public deposit register. For each return: verify filing date ≤ prescribed deadline; agree key figures to audited/draft financial data. Expected outcome: All returns filed on time; key figures agree to audited data. Exception protocol: Late filing — note as regulatory default; figure mismatch — reconcile and correct via revised return. Assertion: [COM, EXI, ACC]. Reference: SA 250; SA 580.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580, Para 10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NBS Returns Filing Obligation; RBI Act 1934, Section 45C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returns vs financial statements reconciliation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CERSAI Charge Registration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security interests created on loan collateral are not registered with CERSAI within 30 days, invalidating security perfection and resulting in unsecured lending reported as secured.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CERSAI registration report from loan system — all charges created during the year. (a) For a sample of 30 secured loans (mortgage / hypothecation): verify CERSAI registration was completed within 30 days of charge creation; obtain CERSAI search certificate; (b) For charges discharged during the year (loan repaid): confirm CERSAI satisfaction was filed within 30 days of repayment; (c) Identify any loans classified as secured where CERSAI registration is missing — reclassify as effectively unsecured for provisioning purposes. Expected outcome: All sampled charges registered within 30 days. Exception protocol: Unregistered charges — quantify unsecured exposure; recompute NPA provision at unsecured rate. Assertion: [COM, EXI]. Reference: SA 250, Para 14; SA 330.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330, Para 18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SARFAESI Act 2002, Section 26B — CERSAI Registration; CERSAI Rules 2011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CERSAI portal verification for sampled loans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CRILC Reporting Compliance — Large Exposure Thresholds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CRILC submissions are incomplete (omit eligible borrowers) or data is inconsistent with the NBFC's own loan system, leading to incorrect credit bureau information.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CRILC quarterly submissions (Q1–Q4). (a) For Q4 submission: extract all borrowers with aggregate exposure ≥ ₹5 crore from CRILC; agree count and amounts to LMS; confirm no eligible borrower omitted; (b) For 30 sampled borrowers in CRILC: agree outstanding, SMA classification (SMA-0/1/2), and NPA status to LMS as at reporting date; (c) Confirm SMA recognition is based on DPD — SMA-0 (1–30), SMA-1 (31–60), SMA-2 (61–90) — consistent with LMS flags; (d) Verify CRILC submission is on XBRL format as prescribed by RBI. Expected outcome: CRILC complete; no eligible borrower omitted; data agrees to LMS. Exception protocol: Omitted borrower or systematic data mismatch — file revised CRILC; assess regulatory penalty. Assertion: [COM, EXI, ACC]. Reference: SA 250;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CRILC Reporting Guidelines — Threshold ≥ ₹5 Crore Aggregate Exposure; RBI Master Direction — NBFC SBR 2023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CRILC population completeness check; LMS vs CRILC SMA cross-match]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Fair Practices Code &amp; Grievance Redressal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NBFC's loan terms, recovery practices, or customer communication violate RBI Fair Practices Code, creating regulatory and reputational risk.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Walkthrough)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RBI Fair Practices Code (FPC) policy adopted by the Board and most recent FPC compliance report submitted to Board/ACB. (a) Verify FPC is published on website; loan application acknowledgement is issued within 30 days; reasons for rejection communicated to borrowers; (b) Recovery practices: obtain last 3 months of recovery agent complaints; verify no complaints of physical coercion or harassment; confirm recovery agents are trained and certified per IBA guidelines; (c) Grievance Redressal: verify Grievance Redressal Officer (GRO) is appointed and publicly disclosed; complaints registered and resolved within 30 days; escalation to RBI Ombudsman where applicable; (d) Digital lending specific: KFS compliance, cooling-off period, no auto-debit without explicit consent (per RBI Digital Lending Guidelines Sep 2022). Expected outcome: FPC policy in place; recovery complaints addressed; GRO active; KFS compliance confirmed. Exception protocol: Recovery complaints of coercion — immediate escalation to partner; SA 250 assessment. Assertion: [COM, EXI]. Reference: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315, Para 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Fair Practices Code for NBFCs; RBI Digital Lending Guidelines (Sep 2022) — Customer Protection; RBI Integrated Ombudsman Scheme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FPC compliance report review and website check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KYC / AML Programme (PMLA 2002 Compliance)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NBFC's KYC/AML programme has material deficiencies (incomplete due diligence, delayed STR/CTR filing) similar to banking sector risks.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Execute risk-based KYC/AML testing programme: (a) For a sample of 40 borrowers onboarded during the year (20 individuals, 20 corporates): verify OVDs obtained; BO declaration for corporates (&gt; 25% shareholding — PMLA Rule 9); V-CIP for digital onboarding; (b) CTR filings: verify all cash transactions ≥ ₹10 lakh filed with FIU-IND within 15 days; obtain CTR register; sample 10 CTRs; (c) STR filings: verify all STRs filed within 7 days of suspicion crystallisation; check for unusual loan disbursement and repayment patterns; (d) Periodic re-verification: High Risk accounts re-verified every 2 years; confirm compliance; (e) Agree KYC/AML programme report to Board minutes. Expected outcome: KYC/AML programme adequate; CTR/STR timelines met. Exception protocol: KYC gaps for high-risk borrowers — escalate; PMLA Section 12 implications. [Tool: T-03 Corporate Intelligence (intel.varma.ai) — Adverse media and PEP screening for sampled high-risk borrowers] Assertion: [COM, EXI]. Reference: SA 250; SA 315.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315, Para 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PMLA 2002, Section 12; PMLA Rules 2005, Rule 9; RBI KYC Master Direction (2016 as updated); 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T-03 Corporate Intelligence (intel.varma.ai) — Adverse media / PEP screening for high-risk borrowers]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SBR Layer Classification Review — BL / ML / UL Compliance Triggers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NBFC is operating at a higher SBR layer (Middle or Upper) without complying with enhanced regulatory requirements, or that it is misclassified at a lower layer to avoid compliance obligations.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NBFC's self-assessment of SBR layer classification per RBI Master Direction SBR 2023. (a) Verify asset size: if total assets ≥ ₹1,000 crore (Middle Layer threshold) — confirm CRAR 15%, CG compliance, CDD enhanced; if ≥ ₹50,000 crore or systemically important (determined by RBI) — Upper Layer; (b) Check activity-based classification triggers: if NBFC conducts deposit acceptance — NBFC-D; investment company — NBFC-IC; microfinance — NBFC-MFI; housing finance — HFC; (c) Verify no exemption from CRAR is wrongly claimed (Base Layer NBFCs may be exempt); (d) Confirm RBI's latest communication on the NBFC's layer classification — if RBI has placed NBFC in Upper Layer, additional disclosures (Pillar 3 equivalent) are required. Expected outcome: Layer classification is correct and consistent with RBI's records; applicable regulatory requirements are complied with. Exception protocol: Misclassification (operating at Base Layer while meeting Middle Layer triggers) — propose corrective action; report under SA 250. Assertion: [COM, EXI]. Reference: SA 250; SA 315.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315, Para 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Scale Based Regulation 2023 — Layer Classification Criteria; RBI List of Upper Layer NBFCs (published annually)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compare NBFC profile to RBI SBR 2023 layer criteria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WP-REG-09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REG-010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IT &amp; Cybersecurity Audit (Upper Layer — RBI IS Audit Requirements)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applicable to Upper Layer NBFCs that IT General Controls are inadequate and that RBI IS Audit requirements (annual independent IS audit) have not been complied with.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(Upper Layer only)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IT Controls Review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Applicable to Upper Layer NBFCs (and Middle Layer NBFCs with significant digital operations): (a) Verify annual IS (Information Security) Audit has been conducted by a CISA/DISA-qualified independent auditor; confirm IS Audit report is submitted to Board and RBI within prescribed timeline; (b) Core ITGC review (analogous to WP-REG-07 of BK section): privileged access controls, change management, batch job integrity, DR testing — adapted for NBFC's loan management system (LMS) and digital lending platform; (c) Cyber Incident Log: obtain incidents reported during the year; confirm incidents above RBI threshold reported per RBI Cybersecurity Framework; (d) Assess reliance on LMS-generated reports for audit — state conclusion on IT reliance. Expected outcome: Annual IS Audit conducted; ITGCs adequate; cyber incidents reported; LMS reliance appropriate. Exception protocol: No IS Audit — SA 250 regulatory non-compliance; ITGC failure — expand substantive procedures; do not rely on LMS data for affected processes. Assertion: [EXI, COM, ACC]. Reference: SA 315, Para 12–19; SA 402;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315, Para 12–19; SA 402, Para 9;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IT and Cybersecurity Requirements for Upper Layer; RBI Cybersecurity Framework; 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IS Audit report review; ITGC walkthrough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WP-REG-10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5A171D-7F0B-47AF-8A55-470B3BF6772F}"/>
</file>

<file path=customXml/itemProps3.xml><?xml version="1.0" encoding="utf-8"?>
<ds:datastoreItem xmlns:ds="http://schemas.openxmlformats.org/officeDocument/2006/customXml" ds:itemID="{85C912E2-1ADB-4074-A295-D00A0E0B33A8}"/>
</file>

<file path=customXml/itemProps4.xml><?xml version="1.0" encoding="utf-8"?>
<ds:datastoreItem xmlns:ds="http://schemas.openxmlformats.org/officeDocument/2006/customXml" ds:itemID="{6B6728B1-E157-4F92-9F61-C60B30667D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