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sz w:val="20"/>
        </w:rPr>
        <w:t>AUDIT PROGRAMME — INVESTMENTS &amp; TREASURY (NBFC — FAIR VALUE, RBI NORMS, DERIVATIVES)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NB.INV.00  |  Framework: AS / Ind AS (noted per procedure)  |  Governing: RBI Master Direction — NBFC SBR 2023 — Investment Norms; Ind AS 109 / AS 13; ICAI Technical Guide on Audit of NBFCs (2023 Edition)</w:t>
      </w:r>
    </w:p>
    <w:p>
      <w:pPr>
        <w:jc w:val="center"/>
      </w:pPr>
      <w:r>
        <w:rPr>
          <w:rFonts w:ascii="Arial" w:hAnsi="Arial"/>
          <w:b w:val="0"/>
          <w:i/>
          <w:sz w:val="18"/>
        </w:rPr>
        <w:t>ICAI Reference: ICAI Technical Guide on Audit of NBFCs (2023 Edition) — Chapter 7 (Investments and Treasury)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680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Sr. No.</w:t>
            </w:r>
          </w:p>
        </w:tc>
        <w:tc>
          <w:tcPr>
            <w:tcW w:type="dxa" w:w="1417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Audit Area</w:t>
            </w:r>
          </w:p>
        </w:tc>
        <w:tc>
          <w:tcPr>
            <w:tcW w:type="dxa" w:w="1020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Assertions</w:t>
            </w:r>
          </w:p>
        </w:tc>
        <w:tc>
          <w:tcPr>
            <w:tcW w:type="dxa" w:w="1701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Risk Description</w:t>
            </w:r>
          </w:p>
        </w:tc>
        <w:tc>
          <w:tcPr>
            <w:tcW w:type="dxa" w:w="1247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Risk Level</w:t>
            </w:r>
          </w:p>
        </w:tc>
        <w:tc>
          <w:tcPr>
            <w:tcW w:type="dxa" w:w="1020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Proc. Type</w:t>
            </w:r>
          </w:p>
        </w:tc>
        <w:tc>
          <w:tcPr>
            <w:tcW w:type="dxa" w:w="3288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Detailed Procedure</w:t>
            </w:r>
          </w:p>
        </w:tc>
        <w:tc>
          <w:tcPr>
            <w:tcW w:type="dxa" w:w="1417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SA Reference</w:t>
            </w:r>
          </w:p>
        </w:tc>
        <w:tc>
          <w:tcPr>
            <w:tcW w:type="dxa" w:w="1417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AS / Ind AS / Reg. Ref</w:t>
            </w:r>
          </w:p>
        </w:tc>
        <w:tc>
          <w:tcPr>
            <w:tcW w:type="dxa" w:w="1417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ICAI Template Ref</w:t>
            </w:r>
          </w:p>
        </w:tc>
        <w:tc>
          <w:tcPr>
            <w:tcW w:type="dxa" w:w="1417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Tool Reference</w:t>
            </w:r>
          </w:p>
        </w:tc>
        <w:tc>
          <w:tcPr>
            <w:tcW w:type="dxa" w:w="850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WP Ref</w:t>
            </w:r>
          </w:p>
        </w:tc>
        <w:tc>
          <w:tcPr>
            <w:tcW w:type="dxa" w:w="1134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Done By / Date</w:t>
            </w:r>
          </w:p>
        </w:tc>
        <w:tc>
          <w:tcPr>
            <w:tcW w:type="dxa" w:w="1134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Reviewed By / Date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INV-001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Investments — Fair Value Measurement (Equity, MF Units, Bonds)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[VAL, ACC, CLS]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investments are incorrectly measured — quoted equities not at closing market price, unquoted instruments using incorrect valuation technique, or FVTPL/FVTOCI classification inconsistent with business model.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For each investment category: (a) Quoted equities / MF units: agree fair value to BSE/NSE closing price (equity) or NAV (MF units) as at 31 March; (b) Quoted bonds / debentures: agree to FIMMDA yield-based price; (c) Unquoted equity investments: review valuation technique (DCF / NAV / Market Comparable); assess reasonableness of assumptions; (d) Verify FVTPL vs FVTOCI classification per Ind AS 109 business model assessment (for AS: HTM/AFS/current/long-term per AS 13); (e) Agree total investment balance to lead schedule and Schedule II (Ind AS) or Schedule of Investments (AS). Expected outcome: Fair values agree to market sources; classification consistent with business model. Exception protocol: Stale or incorrect FV — propose correction. Assertion: [VAL, ACC, CLS]. Reference: SA 540, Para 8–15; SA 500, Para 7.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540, Para 8–15; SA 500, Para 7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Ind AS 109 (Classification and Measurement); Ind AS 113 (Fair Value); AS 13 (Investments)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TG NBFCs Ch. 7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[Tool: T-01 Data Sense Pro (datasense.varma.ai) — Fair value verification for investment portfolio; variance vs management's FV schedule]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WP-INV-01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INV-002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Investments — RBI Investment Norms for NBFCs (Category &amp; Limit Compliance)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EXI, VAL]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NBFC investments violate RBI-prescribed categories (e.g., investing in rated instruments only), limits, or inter-group investment restrictions.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investment register. Verify: (a) All debt investments are in rated instruments (minimum BBB- or equivalent as per RBI SBR 2023 investment norms); (b) Investments in equity of other companies: verify compliance with RBI limits (Upper Layer NBFCs — equity investments ≤ 10% of owned funds per investee company; aggregate equity investments ≤ [applicable limit]); (c) Inter-group investments: confirm no disguised lending through equity / debenture investment in group companies without RBI approval; (d) SLR-type holdings (if applicable): confirm HQLA holdings for LCR compliance (Upper Layer NBFCs); (e) Confirm no investment in land / buildings / movable property (prohibited per Section 45IB, RBI Act). Expected outcome: All investments comply with RBI norms; no prohibited investments. Exception protocol: Non-compliant investment — quantify; report under SA 250. Assertion: [COM, EXI, VAL]. Reference: SA 250, Para 14; SA 330, Para 18.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250, Para 14; SA 330, Para 18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RBI Master Direction — NBFC SBR 2023 — Investment Norms; RBI Act 1934, Section 45IB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TG NBFCs Ch. 7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procedure — investment register review against RBI-prescribed categories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WP-INV-02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INV-003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Investments — Structured Products, Derivatives &amp; Hedge Accounting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[VAL, ACC, COM]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derivative financial instruments are not recognised at fair value on balance sheet, or that hedge accounting is applied incorrectly (hedge relationship documentation missing, ineffectiveness not tested).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 (if material)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 + Expert)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Applicable if NBFC has material derivative positions (interest rate swaps, forex forwards, commodity derivatives): (a) Obtain derivatives register — notional, fair value as at 31 March, designation (hedge / non-hedge); (b) For fair values: agree to counterparty bank mark-to-market statements (for bilateral OTC) or exchange settlement prices (for exchange-traded); (c) For instruments designated as hedges under Ind AS 109 / AS 30 (if applicable): verify: (i) hedge documentation at inception (hedging relationship, risk being hedged, hedging instrument, expected effectiveness method); (ii) effectiveness test results at year end (80–125% retrospective test for AS 30; regression / dollar-offset for Ind AS 109); (d) For non-hedge derivatives: confirm all FV movements recognised in P&amp;L (FVTPL). Expected outcome: All derivatives at fair value; hedge accounting valid where applied. Exception protocol: Unrecognised derivative / invalid hedge accounting — recognise at FV; reverse hedge accounting if ineffective. Assertion: [VAL, ACC, COM]. Reference: SA 540, Para 8–15; SA 620, Para 8.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540, Para 8–15; SA 620, Para 8; SA 500, Para 7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Ind AS 109 — Hedge Accounting (Chapter 6); AS 30 (where applicable); Ind AS 113 (Fair Value); RBI Master Direction — Hedging of Commodities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TG NBFCs Ch. 7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procedure — obtain MTM statements from bank counterparties; consider SA 620 for complex derivative valuations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WP-INV-03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/>
      <w:pgMar w:top="1134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Kunstler Script" w:hAnsi="Kunstler Script"/>
              <w:b/>
              <w:sz w:val="22"/>
            </w:rPr>
            <w:t>Varma &amp; Varma</w:t>
          </w:r>
        </w:p>
      </w:tc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hAnsi="Arial"/>
              <w:sz w:val="18"/>
            </w:rPr>
            <w:fldChar w:fldCharType="begin"/>
            <w:instrText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Arial" w:hAnsi="Arial"/>
              <w:b w:val="0"/>
              <w:i w:val="0"/>
              <w:sz w:val="18"/>
            </w:rPr>
            <w:t>[Client Name]</w:t>
          </w:r>
        </w:p>
      </w:tc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hAnsi="Arial"/>
              <w:b w:val="0"/>
              <w:i w:val="0"/>
              <w:sz w:val="18"/>
            </w:rPr>
            <w:t>Statutory Audit for the year ended [DD.MM.YYYY]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E7910557F1DE4C91A691C09C7EA83D" ma:contentTypeVersion="4" ma:contentTypeDescription="Create a new document." ma:contentTypeScope="" ma:versionID="8b73a0bc7003658bab3f23da5945ddcb">
  <xsd:schema xmlns:xsd="http://www.w3.org/2001/XMLSchema" xmlns:xs="http://www.w3.org/2001/XMLSchema" xmlns:p="http://schemas.microsoft.com/office/2006/metadata/properties" xmlns:ns2="03f3f4d6-3d69-4648-a89a-6f8e492ac738" targetNamespace="http://schemas.microsoft.com/office/2006/metadata/properties" ma:root="true" ma:fieldsID="b054d4809f6fdc5a8fe18ec980977459" ns2:_="">
    <xsd:import namespace="03f3f4d6-3d69-4648-a89a-6f8e492ac7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f3f4d6-3d69-4648-a89a-6f8e492ac7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6A0A30-590F-4DC2-AC8D-DD3D200D16CF}"/>
</file>

<file path=customXml/itemProps3.xml><?xml version="1.0" encoding="utf-8"?>
<ds:datastoreItem xmlns:ds="http://schemas.openxmlformats.org/officeDocument/2006/customXml" ds:itemID="{A786F764-7B61-4F19-BD5E-82C5E78FD4F1}"/>
</file>

<file path=customXml/itemProps4.xml><?xml version="1.0" encoding="utf-8"?>
<ds:datastoreItem xmlns:ds="http://schemas.openxmlformats.org/officeDocument/2006/customXml" ds:itemID="{C465CD5D-B1A0-440B-A6DA-F05AF778553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0x01010005E7910557F1DE4C91A691C09C7EA83D</vt:lpwstr>
  </property>
</Properties>
</file>