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20"/>
        </w:rPr>
        <w:t>AUDIT PROGRAMME — LIABILITIES, BORROWINGS &amp; ALM (NBFC — BANK LINES, NCD, PUBLIC DEPOSITS, LCR)</w:t>
      </w:r>
    </w:p>
    <w:p>
      <w:pPr>
        <w:jc w:val="center"/>
      </w:pPr>
      <w:r>
        <w:rPr>
          <w:rFonts w:ascii="Arial" w:hAnsi="Arial"/>
          <w:b w:val="0"/>
          <w:i w:val="0"/>
          <w:sz w:val="18"/>
        </w:rPr>
        <w:t>NB.LIAB.00  |  Framework: AS / Ind AS (noted per procedure)  |  Governing: RBI Master Direction — NBFC SBR 2023; SEBI (Issue and Listing of Non-Convertible Securities) Regulations 2021; RBI Master Direction on Liquidity Framework for NBFCs (2019)</w:t>
      </w:r>
    </w:p>
    <w:p>
      <w:pPr>
        <w:jc w:val="center"/>
      </w:pPr>
      <w:r>
        <w:rPr>
          <w:rFonts w:ascii="Arial" w:hAnsi="Arial"/>
          <w:b w:val="0"/>
          <w:i/>
          <w:sz w:val="18"/>
        </w:rPr>
        <w:t>ICAI Reference: ICAI Technical Guide on Audit of NBFCs (2023 Edition) — Chapter 8 (Liabilities and Borrowings)</w:t>
      </w:r>
    </w:p>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gridCol w:w="1081"/>
        <w:gridCol w:w="1081"/>
        <w:gridCol w:w="1081"/>
        <w:gridCol w:w="1081"/>
        <w:gridCol w:w="1081"/>
        <w:gridCol w:w="1081"/>
      </w:tblGrid>
      <w:tr>
        <w:tc>
          <w:tcPr>
            <w:tcW w:type="dxa" w:w="680"/>
            <w:shd w:val="clear" w:color="auto" w:fill="D6E4F0"/>
            <w:vAlign w:val="top"/>
          </w:tcPr>
          <w:p>
            <w:r>
              <w:rPr>
                <w:rFonts w:ascii="Arial" w:hAnsi="Arial"/>
                <w:b/>
                <w:i w:val="0"/>
                <w:sz w:val="18"/>
              </w:rPr>
              <w:t>Sr. No.</w:t>
            </w:r>
          </w:p>
        </w:tc>
        <w:tc>
          <w:tcPr>
            <w:tcW w:type="dxa" w:w="1417"/>
            <w:shd w:val="clear" w:color="auto" w:fill="D6E4F0"/>
            <w:vAlign w:val="top"/>
          </w:tcPr>
          <w:p>
            <w:r>
              <w:rPr>
                <w:rFonts w:ascii="Arial" w:hAnsi="Arial"/>
                <w:b/>
                <w:i w:val="0"/>
                <w:sz w:val="18"/>
              </w:rPr>
              <w:t>Audit Area</w:t>
            </w:r>
          </w:p>
        </w:tc>
        <w:tc>
          <w:tcPr>
            <w:tcW w:type="dxa" w:w="1020"/>
            <w:shd w:val="clear" w:color="auto" w:fill="D6E4F0"/>
            <w:vAlign w:val="top"/>
          </w:tcPr>
          <w:p>
            <w:r>
              <w:rPr>
                <w:rFonts w:ascii="Arial" w:hAnsi="Arial"/>
                <w:b/>
                <w:i w:val="0"/>
                <w:sz w:val="18"/>
              </w:rPr>
              <w:t>Assertions</w:t>
            </w:r>
          </w:p>
        </w:tc>
        <w:tc>
          <w:tcPr>
            <w:tcW w:type="dxa" w:w="1701"/>
            <w:shd w:val="clear" w:color="auto" w:fill="D6E4F0"/>
            <w:vAlign w:val="top"/>
          </w:tcPr>
          <w:p>
            <w:r>
              <w:rPr>
                <w:rFonts w:ascii="Arial" w:hAnsi="Arial"/>
                <w:b/>
                <w:i w:val="0"/>
                <w:sz w:val="18"/>
              </w:rPr>
              <w:t>Risk Description</w:t>
            </w:r>
          </w:p>
        </w:tc>
        <w:tc>
          <w:tcPr>
            <w:tcW w:type="dxa" w:w="1247"/>
            <w:shd w:val="clear" w:color="auto" w:fill="D6E4F0"/>
            <w:vAlign w:val="top"/>
          </w:tcPr>
          <w:p>
            <w:r>
              <w:rPr>
                <w:rFonts w:ascii="Arial" w:hAnsi="Arial"/>
                <w:b/>
                <w:i w:val="0"/>
                <w:sz w:val="18"/>
              </w:rPr>
              <w:t>Risk Level</w:t>
            </w:r>
          </w:p>
        </w:tc>
        <w:tc>
          <w:tcPr>
            <w:tcW w:type="dxa" w:w="1020"/>
            <w:shd w:val="clear" w:color="auto" w:fill="D6E4F0"/>
            <w:vAlign w:val="top"/>
          </w:tcPr>
          <w:p>
            <w:r>
              <w:rPr>
                <w:rFonts w:ascii="Arial" w:hAnsi="Arial"/>
                <w:b/>
                <w:i w:val="0"/>
                <w:sz w:val="18"/>
              </w:rPr>
              <w:t>Proc. Type</w:t>
            </w:r>
          </w:p>
        </w:tc>
        <w:tc>
          <w:tcPr>
            <w:tcW w:type="dxa" w:w="3288"/>
            <w:shd w:val="clear" w:color="auto" w:fill="D6E4F0"/>
            <w:vAlign w:val="top"/>
          </w:tcPr>
          <w:p>
            <w:r>
              <w:rPr>
                <w:rFonts w:ascii="Arial" w:hAnsi="Arial"/>
                <w:b/>
                <w:i w:val="0"/>
                <w:sz w:val="18"/>
              </w:rPr>
              <w:t>Detailed Procedure</w:t>
            </w:r>
          </w:p>
        </w:tc>
        <w:tc>
          <w:tcPr>
            <w:tcW w:type="dxa" w:w="1417"/>
            <w:shd w:val="clear" w:color="auto" w:fill="D6E4F0"/>
            <w:vAlign w:val="top"/>
          </w:tcPr>
          <w:p>
            <w:r>
              <w:rPr>
                <w:rFonts w:ascii="Arial" w:hAnsi="Arial"/>
                <w:b/>
                <w:i w:val="0"/>
                <w:sz w:val="18"/>
              </w:rPr>
              <w:t>SA Reference</w:t>
            </w:r>
          </w:p>
        </w:tc>
        <w:tc>
          <w:tcPr>
            <w:tcW w:type="dxa" w:w="1417"/>
            <w:shd w:val="clear" w:color="auto" w:fill="D6E4F0"/>
            <w:vAlign w:val="top"/>
          </w:tcPr>
          <w:p>
            <w:r>
              <w:rPr>
                <w:rFonts w:ascii="Arial" w:hAnsi="Arial"/>
                <w:b/>
                <w:i w:val="0"/>
                <w:sz w:val="18"/>
              </w:rPr>
              <w:t>AS / Ind AS / Reg. Ref</w:t>
            </w:r>
          </w:p>
        </w:tc>
        <w:tc>
          <w:tcPr>
            <w:tcW w:type="dxa" w:w="1417"/>
            <w:shd w:val="clear" w:color="auto" w:fill="D6E4F0"/>
            <w:vAlign w:val="top"/>
          </w:tcPr>
          <w:p>
            <w:r>
              <w:rPr>
                <w:rFonts w:ascii="Arial" w:hAnsi="Arial"/>
                <w:b/>
                <w:i w:val="0"/>
                <w:sz w:val="18"/>
              </w:rPr>
              <w:t>ICAI Template Ref</w:t>
            </w:r>
          </w:p>
        </w:tc>
        <w:tc>
          <w:tcPr>
            <w:tcW w:type="dxa" w:w="1417"/>
            <w:shd w:val="clear" w:color="auto" w:fill="D6E4F0"/>
            <w:vAlign w:val="top"/>
          </w:tcPr>
          <w:p>
            <w:r>
              <w:rPr>
                <w:rFonts w:ascii="Arial" w:hAnsi="Arial"/>
                <w:b/>
                <w:i w:val="0"/>
                <w:sz w:val="18"/>
              </w:rPr>
              <w:t>Tool Reference</w:t>
            </w:r>
          </w:p>
        </w:tc>
        <w:tc>
          <w:tcPr>
            <w:tcW w:type="dxa" w:w="850"/>
            <w:shd w:val="clear" w:color="auto" w:fill="D6E4F0"/>
            <w:vAlign w:val="top"/>
          </w:tcPr>
          <w:p>
            <w:r>
              <w:rPr>
                <w:rFonts w:ascii="Arial" w:hAnsi="Arial"/>
                <w:b/>
                <w:i w:val="0"/>
                <w:sz w:val="18"/>
              </w:rPr>
              <w:t>WP Ref</w:t>
            </w:r>
          </w:p>
        </w:tc>
        <w:tc>
          <w:tcPr>
            <w:tcW w:type="dxa" w:w="1134"/>
            <w:shd w:val="clear" w:color="auto" w:fill="D6E4F0"/>
            <w:vAlign w:val="top"/>
          </w:tcPr>
          <w:p>
            <w:r>
              <w:rPr>
                <w:rFonts w:ascii="Arial" w:hAnsi="Arial"/>
                <w:b/>
                <w:i w:val="0"/>
                <w:sz w:val="18"/>
              </w:rPr>
              <w:t>Done By / Date</w:t>
            </w:r>
          </w:p>
        </w:tc>
        <w:tc>
          <w:tcPr>
            <w:tcW w:type="dxa" w:w="1134"/>
            <w:shd w:val="clear" w:color="auto" w:fill="D6E4F0"/>
            <w:vAlign w:val="top"/>
          </w:tcPr>
          <w:p>
            <w:r>
              <w:rPr>
                <w:rFonts w:ascii="Arial" w:hAnsi="Arial"/>
                <w:b/>
                <w:i w:val="0"/>
                <w:sz w:val="18"/>
              </w:rPr>
              <w:t>Reviewed By / Date</w:t>
            </w:r>
          </w:p>
        </w:tc>
      </w:tr>
      <w:tr>
        <w:tc>
          <w:tcPr>
            <w:tcW w:type="dxa" w:w="680"/>
            <w:vAlign w:val="top"/>
          </w:tcPr>
          <w:p>
            <w:r>
              <w:rPr>
                <w:rFonts w:ascii="Arial" w:hAnsi="Arial"/>
                <w:b w:val="0"/>
                <w:i w:val="0"/>
                <w:sz w:val="18"/>
              </w:rPr>
              <w:t>LIAB-001</w:t>
            </w:r>
          </w:p>
        </w:tc>
        <w:tc>
          <w:tcPr>
            <w:tcW w:type="dxa" w:w="1417"/>
            <w:vAlign w:val="top"/>
          </w:tcPr>
          <w:p>
            <w:r>
              <w:rPr>
                <w:rFonts w:ascii="Arial" w:hAnsi="Arial"/>
                <w:b w:val="0"/>
                <w:i w:val="0"/>
                <w:sz w:val="18"/>
              </w:rPr>
              <w:t>Bank Lines of Credit — Drawing Power &amp; Covenant Compliance</w:t>
            </w:r>
          </w:p>
        </w:tc>
        <w:tc>
          <w:tcPr>
            <w:tcW w:type="dxa" w:w="1020"/>
            <w:vAlign w:val="top"/>
          </w:tcPr>
          <w:p>
            <w:r>
              <w:rPr>
                <w:rFonts w:ascii="Arial" w:hAnsi="Arial"/>
                <w:b w:val="0"/>
                <w:i w:val="0"/>
                <w:sz w:val="18"/>
              </w:rPr>
              <w:t>[EXI, COM, ACC]</w:t>
            </w:r>
          </w:p>
        </w:tc>
        <w:tc>
          <w:tcPr>
            <w:tcW w:type="dxa" w:w="1701"/>
            <w:vAlign w:val="top"/>
          </w:tcPr>
          <w:p>
            <w:r>
              <w:rPr>
                <w:rFonts w:ascii="Arial" w:hAnsi="Arial"/>
                <w:b w:val="0"/>
                <w:i w:val="0"/>
                <w:sz w:val="18"/>
              </w:rPr>
              <w:t>Risk that the NBFC's bank borrowings exceed drawing power limits or that covenant breaches trigger acceleration clauses, creating going concern risk.</w:t>
            </w:r>
          </w:p>
        </w:tc>
        <w:tc>
          <w:tcPr>
            <w:tcW w:type="dxa" w:w="1247"/>
            <w:vAlign w:val="top"/>
          </w:tcPr>
          <w:p>
            <w:r>
              <w:rPr>
                <w:rFonts w:ascii="Arial" w:hAnsi="Arial"/>
                <w:b w:val="0"/>
                <w:i w:val="0"/>
                <w:sz w:val="18"/>
              </w:rPr>
              <w:t>Medium</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sanction letters and term sheets for all bank credit facilities. (a) For cash credit / overdraft facilities: recompute drawing power = [Security coverage × Applicable DP formula per lender]; agree to bank account balance; confirm no over-drawing; (b) For term loans: verify outstanding as at 31 March agrees to lender amortisation schedule; confirm no overdue principal or interest (would trigger default provisions); (c) Covenants: for a sample of 5 major lenders — extract financial covenants (DSCR, CRAR, leverage ratio, collection efficiency, NPA ratio); recompute from financial statements and management accounts; verify all covenants met as at year end; (d) Confirm all bank borrowings are disclosed in Schedule III (Borrowings note — secured / unsecured, category-wise) with repayment terms. Expected outcome: Drawing powers not breached; all covenants met; disclosures complete. Exception protocol: Covenant breach — assess going concern (SA 570); obtain waiver letter from lender; disclose in notes. Assertion: [EXI, COM, ACC]. Reference: SA 570, Para 16; SA 250, Para 14.</w:t>
            </w:r>
          </w:p>
        </w:tc>
        <w:tc>
          <w:tcPr>
            <w:tcW w:type="dxa" w:w="1417"/>
            <w:vAlign w:val="top"/>
          </w:tcPr>
          <w:p>
            <w:r>
              <w:rPr>
                <w:rFonts w:ascii="Arial" w:hAnsi="Arial"/>
                <w:b w:val="0"/>
                <w:i w:val="0"/>
                <w:sz w:val="18"/>
              </w:rPr>
              <w:t>SA 570, Para 16; SA 250, Para 14; SA 330, Para 18</w:t>
            </w:r>
          </w:p>
        </w:tc>
        <w:tc>
          <w:tcPr>
            <w:tcW w:type="dxa" w:w="1417"/>
            <w:vAlign w:val="top"/>
          </w:tcPr>
          <w:p>
            <w:r>
              <w:rPr>
                <w:rFonts w:ascii="Arial" w:hAnsi="Arial"/>
                <w:b w:val="0"/>
                <w:i w:val="0"/>
                <w:sz w:val="18"/>
              </w:rPr>
              <w:t>Ind AS 107 (Financial Liabilities Disclosure); AS 26 / Ind AS 109 (Borrowing Cost); RBI Master Direction — NBFC SBR 2023</w:t>
            </w:r>
          </w:p>
        </w:tc>
        <w:tc>
          <w:tcPr>
            <w:tcW w:type="dxa" w:w="1417"/>
            <w:vAlign w:val="top"/>
          </w:tcPr>
          <w:p>
            <w:r>
              <w:rPr>
                <w:rFonts w:ascii="Arial" w:hAnsi="Arial"/>
                <w:b w:val="0"/>
                <w:i w:val="0"/>
                <w:sz w:val="18"/>
              </w:rPr>
              <w:t>ICAI TG NBFCs Ch. 8</w:t>
            </w:r>
          </w:p>
        </w:tc>
        <w:tc>
          <w:tcPr>
            <w:tcW w:type="dxa" w:w="1417"/>
            <w:vAlign w:val="top"/>
          </w:tcPr>
          <w:p>
            <w:r>
              <w:rPr>
                <w:rFonts w:ascii="Arial" w:hAnsi="Arial"/>
                <w:b w:val="0"/>
                <w:i w:val="0"/>
                <w:sz w:val="18"/>
              </w:rPr>
              <w:t>Manual procedure — sanction letter review and covenant recomputation</w:t>
            </w:r>
          </w:p>
        </w:tc>
        <w:tc>
          <w:tcPr>
            <w:tcW w:type="dxa" w:w="850"/>
            <w:vAlign w:val="top"/>
          </w:tcPr>
          <w:p>
            <w:r>
              <w:rPr>
                <w:rFonts w:ascii="Arial" w:hAnsi="Arial"/>
                <w:b w:val="0"/>
                <w:i w:val="0"/>
                <w:sz w:val="18"/>
              </w:rPr>
              <w:t>WP-LIAB-01</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LIAB-002</w:t>
            </w:r>
          </w:p>
        </w:tc>
        <w:tc>
          <w:tcPr>
            <w:tcW w:type="dxa" w:w="1417"/>
            <w:vAlign w:val="top"/>
          </w:tcPr>
          <w:p>
            <w:r>
              <w:rPr>
                <w:rFonts w:ascii="Arial" w:hAnsi="Arial"/>
                <w:b w:val="0"/>
                <w:i w:val="0"/>
                <w:sz w:val="18"/>
              </w:rPr>
              <w:t>NCD / Subordinated Debt — Issuance, Trust Deed &amp; Rating Compliance</w:t>
            </w:r>
          </w:p>
        </w:tc>
        <w:tc>
          <w:tcPr>
            <w:tcW w:type="dxa" w:w="1020"/>
            <w:vAlign w:val="top"/>
          </w:tcPr>
          <w:p>
            <w:r>
              <w:rPr>
                <w:rFonts w:ascii="Arial" w:hAnsi="Arial"/>
                <w:b w:val="0"/>
                <w:i w:val="0"/>
                <w:sz w:val="18"/>
              </w:rPr>
              <w:t>[EXI, COM, VAL]</w:t>
            </w:r>
          </w:p>
        </w:tc>
        <w:tc>
          <w:tcPr>
            <w:tcW w:type="dxa" w:w="1701"/>
            <w:vAlign w:val="top"/>
          </w:tcPr>
          <w:p>
            <w:r>
              <w:rPr>
                <w:rFonts w:ascii="Arial" w:hAnsi="Arial"/>
                <w:b w:val="0"/>
                <w:i w:val="0"/>
                <w:sz w:val="18"/>
              </w:rPr>
              <w:t>Risk that NCD issuances violate SEBI NCS Regulations 2021 (listing requirements, debenture redemption reserve, trustee appointment) or that subordinated debt included in Tier II capital does not meet RBI eligibility criteria.</w:t>
            </w:r>
          </w:p>
        </w:tc>
        <w:tc>
          <w:tcPr>
            <w:tcW w:type="dxa" w:w="1247"/>
            <w:vAlign w:val="top"/>
          </w:tcPr>
          <w:p>
            <w:r>
              <w:rPr>
                <w:rFonts w:ascii="Arial" w:hAnsi="Arial"/>
                <w:b w:val="0"/>
                <w:i w:val="0"/>
                <w:sz w:val="18"/>
              </w:rPr>
              <w:t>High</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NCD register and trust deed documentation. (a) For each NCD series outstanding: verify trust deed executed; DEBENTURE TRUSTEE appointed and registered with SEBI; DRR created (25% of outstanding NCDs, unless exempt under SEBI NCS Regulations 2021 for listed companies meeting conditions); (b) Verify interest payments on NCDs made on due dates (no default); confirm interest rate is within Board-approved limits; (c) For Tier II sub-debt: verify it meets RBI Tier II eligibility — minimum 5-year original maturity, subordinated to depositors and other creditors, no incentive for early redemption; apply haircut per RBI schedule; (d) Agree NCD outstanding to GL; agree to Schedule III (Borrowings); compare to SEBI XBRL disclosure filing. Expected outcome: All NCDs have trustee; DRR adequate; no interest default; Tier II sub-debt meets RBI criteria. Exception protocol: Trust deed missing — immediate legal escalation; DRR shortfall — propose appropriation. Assertion: [EXI, COM, VAL]. Reference: SA 250, Para 14; SA 500, Para 7.</w:t>
            </w:r>
          </w:p>
        </w:tc>
        <w:tc>
          <w:tcPr>
            <w:tcW w:type="dxa" w:w="1417"/>
            <w:vAlign w:val="top"/>
          </w:tcPr>
          <w:p>
            <w:r>
              <w:rPr>
                <w:rFonts w:ascii="Arial" w:hAnsi="Arial"/>
                <w:b w:val="0"/>
                <w:i w:val="0"/>
                <w:sz w:val="18"/>
              </w:rPr>
              <w:t>SA 250, Para 14; SA 500, Para 7; SA 330, Para 18</w:t>
            </w:r>
          </w:p>
        </w:tc>
        <w:tc>
          <w:tcPr>
            <w:tcW w:type="dxa" w:w="1417"/>
            <w:vAlign w:val="top"/>
          </w:tcPr>
          <w:p>
            <w:r>
              <w:rPr>
                <w:rFonts w:ascii="Arial" w:hAnsi="Arial"/>
                <w:b w:val="0"/>
                <w:i w:val="0"/>
                <w:sz w:val="18"/>
              </w:rPr>
              <w:t>SEBI (Issue and Listing of NCS) Regulations 2021 — DRR, Trustee requirements; RBI Master Direction — NBFC SBR 2023 — Tier II Eligibility; Companies Act 2013, Section 71</w:t>
            </w:r>
          </w:p>
        </w:tc>
        <w:tc>
          <w:tcPr>
            <w:tcW w:type="dxa" w:w="1417"/>
            <w:vAlign w:val="top"/>
          </w:tcPr>
          <w:p>
            <w:r>
              <w:rPr>
                <w:rFonts w:ascii="Arial" w:hAnsi="Arial"/>
                <w:b w:val="0"/>
                <w:i w:val="0"/>
                <w:sz w:val="18"/>
              </w:rPr>
              <w:t>ICAI TG NBFCs Ch. 8</w:t>
            </w:r>
          </w:p>
        </w:tc>
        <w:tc>
          <w:tcPr>
            <w:tcW w:type="dxa" w:w="1417"/>
            <w:vAlign w:val="top"/>
          </w:tcPr>
          <w:p>
            <w:r>
              <w:rPr>
                <w:rFonts w:ascii="Arial" w:hAnsi="Arial"/>
                <w:b w:val="0"/>
                <w:i w:val="0"/>
                <w:sz w:val="18"/>
              </w:rPr>
              <w:t>[Tool: T-03 Corporate Intelligence (intel.varma.ai) — Verify SEBI NCS filing and rating on NSE/BSE debenture portal for listed NCDs]</w:t>
            </w:r>
          </w:p>
        </w:tc>
        <w:tc>
          <w:tcPr>
            <w:tcW w:type="dxa" w:w="850"/>
            <w:vAlign w:val="top"/>
          </w:tcPr>
          <w:p>
            <w:r>
              <w:rPr>
                <w:rFonts w:ascii="Arial" w:hAnsi="Arial"/>
                <w:b w:val="0"/>
                <w:i w:val="0"/>
                <w:sz w:val="18"/>
              </w:rPr>
              <w:t>WP-LIAB-02</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LIAB-003</w:t>
            </w:r>
          </w:p>
        </w:tc>
        <w:tc>
          <w:tcPr>
            <w:tcW w:type="dxa" w:w="1417"/>
            <w:vAlign w:val="top"/>
          </w:tcPr>
          <w:p>
            <w:r>
              <w:rPr>
                <w:rFonts w:ascii="Arial" w:hAnsi="Arial"/>
                <w:b w:val="0"/>
                <w:i w:val="0"/>
                <w:sz w:val="18"/>
              </w:rPr>
              <w:t>Public Deposit Compliance — Credit Rating, Advertisement &amp; RBI Norms (NBFC-D)</w:t>
            </w:r>
          </w:p>
        </w:tc>
        <w:tc>
          <w:tcPr>
            <w:tcW w:type="dxa" w:w="1020"/>
            <w:vAlign w:val="top"/>
          </w:tcPr>
          <w:p>
            <w:r>
              <w:rPr>
                <w:rFonts w:ascii="Arial" w:hAnsi="Arial"/>
                <w:b w:val="0"/>
                <w:i w:val="0"/>
                <w:sz w:val="18"/>
              </w:rPr>
              <w:t>[COM, EXI, ACC]</w:t>
            </w:r>
          </w:p>
        </w:tc>
        <w:tc>
          <w:tcPr>
            <w:tcW w:type="dxa" w:w="1701"/>
            <w:vAlign w:val="top"/>
          </w:tcPr>
          <w:p>
            <w:r>
              <w:rPr>
                <w:rFonts w:ascii="Arial" w:hAnsi="Arial"/>
                <w:b w:val="0"/>
                <w:i w:val="0"/>
                <w:sz w:val="18"/>
              </w:rPr>
              <w:t>Risk applicable to NBFC-D (Deposit-taking NBFCs) that public deposits exceed permitted limits, interest rates violate RBI caps, or required credit rating / advertisement compliance is not maintained.</w:t>
            </w:r>
          </w:p>
        </w:tc>
        <w:tc>
          <w:tcPr>
            <w:tcW w:type="dxa" w:w="1247"/>
            <w:vAlign w:val="top"/>
          </w:tcPr>
          <w:p>
            <w:r>
              <w:rPr>
                <w:rFonts w:ascii="Arial" w:hAnsi="Arial"/>
                <w:b w:val="0"/>
                <w:i w:val="0"/>
                <w:sz w:val="18"/>
              </w:rPr>
              <w:t>High (NBFC-D only)</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Applicable to NBFC-D only. Obtain public deposit register as at 31 March. (a) Verify total public deposits ≤ 1.5× net owned fund (NBFC-D without investment grade rating) or ≤ 3× NOF (with investment grade rating and RBI approval); (b) Verify credit rating is current — obtained from SEBI-registered CRA; valid as at year end; no downgrade below investment grade during the year; (c) Confirm advertisement for public deposits is within RBI-prescribed text (no misleading statements); (d) Interest rates on deposits: verify not exceeding RBI-prescribed ceiling (currently 12.5% p.a.); (e) Verify maturity profile — no deposit with maturity &lt; 12 months or &gt; 60 months (permitted range); (f) Confirm all deposits refunded on maturity without default. Expected outcome: Deposits within NOF limits; current rating; rates within cap; maturity within range; no default. Exception protocol: Deposit limit exceeded — regulatory violation; immediate report. Assertion: [COM, EXI, ACC]. Reference: SA 250, Para 14; SA 570, Para 16.</w:t>
            </w:r>
          </w:p>
        </w:tc>
        <w:tc>
          <w:tcPr>
            <w:tcW w:type="dxa" w:w="1417"/>
            <w:vAlign w:val="top"/>
          </w:tcPr>
          <w:p>
            <w:r>
              <w:rPr>
                <w:rFonts w:ascii="Arial" w:hAnsi="Arial"/>
                <w:b w:val="0"/>
                <w:i w:val="0"/>
                <w:sz w:val="18"/>
              </w:rPr>
              <w:t>SA 250, Para 14; SA 570, Para 16; SA 330, Para 18</w:t>
            </w:r>
          </w:p>
        </w:tc>
        <w:tc>
          <w:tcPr>
            <w:tcW w:type="dxa" w:w="1417"/>
            <w:vAlign w:val="top"/>
          </w:tcPr>
          <w:p>
            <w:r>
              <w:rPr>
                <w:rFonts w:ascii="Arial" w:hAnsi="Arial"/>
                <w:b w:val="0"/>
                <w:i w:val="0"/>
                <w:sz w:val="18"/>
              </w:rPr>
              <w:t>RBI Master Direction — Non-Banking Financial Companies Acceptance of Public Deposits (RBI) Directions 2016; RBI Act 1934, Section 45I</w:t>
            </w:r>
          </w:p>
        </w:tc>
        <w:tc>
          <w:tcPr>
            <w:tcW w:type="dxa" w:w="1417"/>
            <w:vAlign w:val="top"/>
          </w:tcPr>
          <w:p>
            <w:r>
              <w:rPr>
                <w:rFonts w:ascii="Arial" w:hAnsi="Arial"/>
                <w:b w:val="0"/>
                <w:i w:val="0"/>
                <w:sz w:val="18"/>
              </w:rPr>
              <w:t>ICAI TG NBFCs Ch. 8</w:t>
            </w:r>
          </w:p>
        </w:tc>
        <w:tc>
          <w:tcPr>
            <w:tcW w:type="dxa" w:w="1417"/>
            <w:vAlign w:val="top"/>
          </w:tcPr>
          <w:p>
            <w:r>
              <w:rPr>
                <w:rFonts w:ascii="Arial" w:hAnsi="Arial"/>
                <w:b w:val="0"/>
                <w:i w:val="0"/>
                <w:sz w:val="18"/>
              </w:rPr>
              <w:t>Manual procedure — deposit register and rating certificate review</w:t>
            </w:r>
          </w:p>
        </w:tc>
        <w:tc>
          <w:tcPr>
            <w:tcW w:type="dxa" w:w="850"/>
            <w:vAlign w:val="top"/>
          </w:tcPr>
          <w:p>
            <w:r>
              <w:rPr>
                <w:rFonts w:ascii="Arial" w:hAnsi="Arial"/>
                <w:b w:val="0"/>
                <w:i w:val="0"/>
                <w:sz w:val="18"/>
              </w:rPr>
              <w:t>WP-LIAB-03</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LIAB-004</w:t>
            </w:r>
          </w:p>
        </w:tc>
        <w:tc>
          <w:tcPr>
            <w:tcW w:type="dxa" w:w="1417"/>
            <w:vAlign w:val="top"/>
          </w:tcPr>
          <w:p>
            <w:r>
              <w:rPr>
                <w:rFonts w:ascii="Arial" w:hAnsi="Arial"/>
                <w:b w:val="0"/>
                <w:i w:val="0"/>
                <w:sz w:val="18"/>
              </w:rPr>
              <w:t>ALM — Bucket Analysis &amp; Liquidity Coverage Ratio (Upper Layer NBFCs)</w:t>
            </w:r>
          </w:p>
        </w:tc>
        <w:tc>
          <w:tcPr>
            <w:tcW w:type="dxa" w:w="1020"/>
            <w:vAlign w:val="top"/>
          </w:tcPr>
          <w:p>
            <w:r>
              <w:rPr>
                <w:rFonts w:ascii="Arial" w:hAnsi="Arial"/>
                <w:b w:val="0"/>
                <w:i w:val="0"/>
                <w:sz w:val="18"/>
              </w:rPr>
              <w:t>[COM, EXI, VAL]</w:t>
            </w:r>
          </w:p>
        </w:tc>
        <w:tc>
          <w:tcPr>
            <w:tcW w:type="dxa" w:w="1701"/>
            <w:vAlign w:val="top"/>
          </w:tcPr>
          <w:p>
            <w:r>
              <w:rPr>
                <w:rFonts w:ascii="Arial" w:hAnsi="Arial"/>
                <w:b w:val="0"/>
                <w:i w:val="0"/>
                <w:sz w:val="18"/>
              </w:rPr>
              <w:t>Risk that the NBFC has negative asset-liability mismatches in short-term buckets (particularly 1–30 days and 31–90 days), or that LCR compliance (for Upper Layer NBFCs) is not maintained.</w:t>
            </w:r>
          </w:p>
        </w:tc>
        <w:tc>
          <w:tcPr>
            <w:tcW w:type="dxa" w:w="1247"/>
            <w:vAlign w:val="top"/>
          </w:tcPr>
          <w:p>
            <w:r>
              <w:rPr>
                <w:rFonts w:ascii="Arial" w:hAnsi="Arial"/>
                <w:b w:val="0"/>
                <w:i w:val="0"/>
                <w:sz w:val="18"/>
              </w:rPr>
              <w:t>High</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ALM statement (Statement of Structural Liquidity) as at 31 March. (a) Bucket analysis: for each time bucket (1–7 days, 8–14 days, 15–30 days, 31–90 days, 91 days–1 year, 1–3 years, 3–5 years, &gt;5 years): verify asset maturities and liability maturities are correctly categorized; confirm cumulative mismatch in 1–30 days bucket does not exceed 10% of outflows (RBI threshold); 31–90 days: does not exceed 15%; (b) For Upper Layer NBFCs — LCR computation: HQLA (High Quality Liquid Assets) / Net Cash Outflow over next 30 days ≥ 100%; verify HQLA composition (G-Secs, SDLs, AAA-rated bonds); verify net cash outflow computation; (c) Agree ALM statement figures to underlying loan/liability schedules. Expected outcome: Mismatch within RBI limits; LCR ≥ 100% (Upper Layer). Exception protocol: Mismatch exceeds limit — assess liquidity risk; SA 570 going concern implications; report in management letter. Assertion: [COM, EXI, VAL]. Reference: SA 570, Para 16; SA 250, Para 14.</w:t>
            </w:r>
          </w:p>
        </w:tc>
        <w:tc>
          <w:tcPr>
            <w:tcW w:type="dxa" w:w="1417"/>
            <w:vAlign w:val="top"/>
          </w:tcPr>
          <w:p>
            <w:r>
              <w:rPr>
                <w:rFonts w:ascii="Arial" w:hAnsi="Arial"/>
                <w:b w:val="0"/>
                <w:i w:val="0"/>
                <w:sz w:val="18"/>
              </w:rPr>
              <w:t>SA 570, Para 16; SA 250, Para 14; SA 315, Para 28</w:t>
            </w:r>
          </w:p>
        </w:tc>
        <w:tc>
          <w:tcPr>
            <w:tcW w:type="dxa" w:w="1417"/>
            <w:vAlign w:val="top"/>
          </w:tcPr>
          <w:p>
            <w:r>
              <w:rPr>
                <w:rFonts w:ascii="Arial" w:hAnsi="Arial"/>
                <w:b w:val="0"/>
                <w:i w:val="0"/>
                <w:sz w:val="18"/>
              </w:rPr>
              <w:t>RBI Master Direction on Liquidity Risk Management Framework for NBFCs (Nov 2019); RBI Circular on LCR for NBFCs (Upper Layer); RBI Master Direction — NBFC SBR 2023</w:t>
            </w:r>
          </w:p>
        </w:tc>
        <w:tc>
          <w:tcPr>
            <w:tcW w:type="dxa" w:w="1417"/>
            <w:vAlign w:val="top"/>
          </w:tcPr>
          <w:p>
            <w:r>
              <w:rPr>
                <w:rFonts w:ascii="Arial" w:hAnsi="Arial"/>
                <w:b w:val="0"/>
                <w:i w:val="0"/>
                <w:sz w:val="18"/>
              </w:rPr>
              <w:t>ICAI TG NBFCs Ch. 8</w:t>
            </w:r>
          </w:p>
        </w:tc>
        <w:tc>
          <w:tcPr>
            <w:tcW w:type="dxa" w:w="1417"/>
            <w:vAlign w:val="top"/>
          </w:tcPr>
          <w:p>
            <w:r>
              <w:rPr>
                <w:rFonts w:ascii="Arial" w:hAnsi="Arial"/>
                <w:b w:val="0"/>
                <w:i w:val="0"/>
                <w:sz w:val="18"/>
              </w:rPr>
              <w:t>[Tool: T-01 Data Sense Pro (datasense.varma.ai) — ALM bucket mismatch analysis; HQLA composition verification for LCR]</w:t>
            </w:r>
          </w:p>
        </w:tc>
        <w:tc>
          <w:tcPr>
            <w:tcW w:type="dxa" w:w="850"/>
            <w:vAlign w:val="top"/>
          </w:tcPr>
          <w:p>
            <w:r>
              <w:rPr>
                <w:rFonts w:ascii="Arial" w:hAnsi="Arial"/>
                <w:b w:val="0"/>
                <w:i w:val="0"/>
                <w:sz w:val="18"/>
              </w:rPr>
              <w:t>WP-LIAB-04</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bl>
    <w:sectPr w:rsidR="00FC693F" w:rsidRPr="0006063C" w:rsidSect="00034616">
      <w:headerReference w:type="default" r:id="rId9"/>
      <w:footerReference w:type="default" r:id="rId10"/>
      <w:pgSz w:w="16838" w:h="11906"/>
      <w:pgMar w:top="1134"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5102"/>
      <w:gridCol w:w="5102"/>
    </w:tblGrid>
    <w:tr>
      <w:tc>
        <w:tcPr>
          <w:tcW w:type="dxa" w:w="5102"/>
          <w:tcBorders>
            <w:top w:val="none"/>
            <w:left w:val="none"/>
            <w:bottom w:val="none"/>
            <w:right w:val="none"/>
          </w:tcBorders>
        </w:tcPr>
        <w:p>
          <w:r>
            <w:rPr>
              <w:rFonts w:ascii="Kunstler Script" w:hAnsi="Kunstler Script"/>
              <w:b/>
              <w:sz w:val="22"/>
            </w:rPr>
            <w:t>Varma &amp; Varma</w:t>
          </w:r>
        </w:p>
      </w:tc>
      <w:tc>
        <w:tcPr>
          <w:tcW w:type="dxa" w:w="5102"/>
          <w:tcBorders>
            <w:top w:val="none"/>
            <w:left w:val="none"/>
            <w:bottom w:val="none"/>
            <w:right w:val="none"/>
          </w:tcBorders>
        </w:tcPr>
        <w:p>
          <w:pPr>
            <w:jc w:val="right"/>
          </w:pPr>
          <w:r>
            <w:rPr>
              <w:rFonts w:ascii="Arial" w:hAnsi="Arial"/>
              <w:sz w:val="18"/>
            </w:rPr>
            <w:fldChar w:fldCharType="begin"/>
            <w:instrText>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102"/>
      <w:gridCol w:w="5102"/>
    </w:tblGrid>
    <w:tr>
      <w:tc>
        <w:tcPr>
          <w:tcW w:type="dxa" w:w="5102"/>
          <w:tcBorders>
            <w:top w:val="none"/>
            <w:left w:val="none"/>
            <w:bottom w:val="none"/>
            <w:right w:val="none"/>
          </w:tcBorders>
        </w:tcPr>
        <w:p>
          <w:r>
            <w:rPr>
              <w:rFonts w:ascii="Arial" w:hAnsi="Arial"/>
              <w:b w:val="0"/>
              <w:i w:val="0"/>
              <w:sz w:val="18"/>
            </w:rPr>
            <w:t>[Client Name]</w:t>
          </w:r>
        </w:p>
      </w:tc>
      <w:tc>
        <w:tcPr>
          <w:tcW w:type="dxa" w:w="5102"/>
          <w:tcBorders>
            <w:top w:val="none"/>
            <w:left w:val="none"/>
            <w:bottom w:val="none"/>
            <w:right w:val="none"/>
          </w:tcBorders>
        </w:tcPr>
        <w:p>
          <w:pPr>
            <w:jc w:val="right"/>
          </w:pPr>
          <w:r>
            <w:rPr>
              <w:rFonts w:ascii="Arial" w:hAnsi="Arial"/>
              <w:b w:val="0"/>
              <w:i w:val="0"/>
              <w:sz w:val="18"/>
            </w:rPr>
            <w:t>Statutory Audit for the year ended [DD.MM.YYYY]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4F2980E-EE36-46F3-BFC5-EAD6BF896A52}"/>
</file>

<file path=customXml/itemProps3.xml><?xml version="1.0" encoding="utf-8"?>
<ds:datastoreItem xmlns:ds="http://schemas.openxmlformats.org/officeDocument/2006/customXml" ds:itemID="{E58C7B5C-C4DF-458D-BACD-BC6B60E50D48}"/>
</file>

<file path=customXml/itemProps4.xml><?xml version="1.0" encoding="utf-8"?>
<ds:datastoreItem xmlns:ds="http://schemas.openxmlformats.org/officeDocument/2006/customXml" ds:itemID="{16C2824A-5B62-40E8-9BC6-103F8B4C4DA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