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LOAN PORTFOLIO &amp; ASSET CLASSIFICATION (NBFC — FUND-BASED LENDING)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NB.LOAN.00  |  Framework: AS / Ind AS (noted per procedure)  |  Governing: RBI Master Direction — NBFC Scale Based Regulation 2023; RBI Prudential Norms Direction (NBFC); ICAI Technical Guide on Audit of NBFCs (2023 Edition)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Technical Guide on Audit of NBFCs (2023 Edition) — Chapter 5 (Loans and Advances); Chapter 6 (Income Recognition and Asset Classification)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D6E4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 Portfolio — Lead Schedule &amp; GL Reconciliation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loan portfolio lead schedule does not reconcile to the GL, or opening balances differ from prior-year audited figures.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loan lead schedule as at 31.03.[YYYY] — product-wise (HL, LAP, Business Loan, MFI, Gold Loan, Vehicle etc.). Cast all columns; agree totals to GL loan accounts. Agree opening balances to prior-year audit file. Expected outcome: Agrees within ₹0. Exception protocol: Reconcile with F&amp;A before proceeding. Assertion: [EXI, COM, VAL]. Reference: SA 510, Para 6–9; SA 500, Para 7.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510, Para 6–9;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 / AS 13 — Loans; RBI Prudential Norms Direction (NBFC)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 Origination &amp; Disbursement Controls — Walkthrough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ACC,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loans are disbursed without completing credit assessment, KYC/AML checks, or legal documentation, leading to unrecorded risk or fictitious loans.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Walkthrough)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Perform a walkthrough of the loan origination process: (a) For a sample of 20 disbursements during the year (across product types by value): verify credit appraisal (credit score / bureau report, income assessment / FOIR, LTV for secured loans); confirm KYC OVDs obtained pre-disbursement; confirm security creation (mortgage/hypothecation) for secured loans; verify disbursement is to the borrower's registered account (not third-party cash payment); (b) For digital loans: confirm RBI Digital Lending Guidelines (Sep 2022) LSP authorization, KFS (Key Fact Statement) provided, cooling-off period documented. Expected outcome: All 20 disbursements complete documentation; no cash disbursements above ₹20,000. Exception protocol: Incomplete documentation — quantify and report; cash disbursement violation — SA 250 reporting. Assertion: [OCC, ACC, EXI]. Reference: SA 330, Para 18–25; SA 250, Para 14.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18–25;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on Digital Lending (Sep 2022); RBI Master Direction — NBFC SBR 2023 — Loan Origination; FEMA 1999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T-03 Corporate Intelligence (intel.varma.ai) — Adverse media and bureau verification for sampled borrowers]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NPA Identification — GNPA / NNPA Computation (RBI Prudential Norms)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NPAs are understated due to incorrect DPD (Days Past Due) computation, manual override of system NPA flags, or failure to upgrade/downgrade accounts per RBI norms.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CAATs)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NPA list as at 31.03.[YYYY] from the loan management system (LMS). (a) For a sample of 30 accounts (15 suspected NPAs, 15 standard accounts near 90-DPD): recompute DPD from last due date to 31 March using payment history; verify NPA classification (Sub-Standard: &lt; 12 months NPA; Doubtful I/II/III; Loss); (b) CAATs: run ageing of all outstanding accounts by DPD; identify any accounts with DPD ≥ 90 not flagged as NPA in LMS; (c) For upgraded accounts (NPA to Standard): verify all overdue instalments paid and upgrade approved per RBI norms (minimum 1 year satisfactory performance post-upgrade); (d) Compute GNPA ratio = Gross NPA / Gross Advances and NNPA ratio = Net NPA / Net Advances; agree to disclosed ratios. Expected outcome: No standard accounts with DPD ≥ 90; NPA ratios agree to disclosure. Exception protocol: Understated NPA — reclassify; recompute provisioning in WP-LOAN-04. Assertion: [EXI, VAL, COM]. Reference: SA 240, Para 32; SA 330, Para 18–25.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240, Para 32; SA 330, Para 18–25; SA 540, Para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Prudential Norms (NPA Classification); RBI Circular — NPA Recognition — 90 DPD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DPD ageing of full loan portfolio; NPA flag cross-check; identify accounts ≥ 90 DPD without NPA flag]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ECL Provisioning — Stage 1 / 2 / 3 (Ind AS 109)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ECL provisions are materially misstated — Stage classification is incorrect, PD/LGD/EAD assumptions are unreasonable, or the ECL model has not been validated.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Expert Review)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Applicable to Ind AS NBFCs (Upper and Middle Layer): (a) Obtain ECL model documentation — staging criteria (12-month PD for Stage 1; significant credit deterioration triggers for Stage 2; lifetime PD for Stage 3); (b) For a sample of 30 accounts (10 per stage): verify stage assignment is consistent with DPD (Stage 1: 0–30 DPD; Stage 2: typically 31–89 DPD + SICR triggers; Stage 3: 90+ DPD); (c) Assess reasonableness of PD, LGD, EAD assumptions — compare to RBI sectoral default data; assess whether macro-economic forward-looking adjustments (FLA) are reasonable (post-COVID recovery, sector stress); (d) If an internal or external ECL model is used: review the model validation report (at least annual); confirm model is applied consistently with prior year; (e) Compute ECL = PD × LGD × EAD for sample; compare to management's ECL schedule. Expected outcome: Stage assignments agree to DPD; ECL within reasonable range of recomputed estimates. Exception protocol: Material understatement — propose higher provision; if ECL model is unreliable, consider SA 620 engagement of expert. Assertion: [VAL, ACC, COM]. Reference: SA 540, Para 8–15; SA 620, Para 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620, Para 8; SA 330, Para 18–25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 — Financial Instruments (Impairment); Ind AS 107 — Disclosures; RBI Master Direction on ECL (if issued)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ECL model output vs recomputed PD×LGD×EAD for sampled accounts; stage migration analysis]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Restructured / Modified Loan Review — FOIR &amp; Terms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ACC,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restructured loans are not identified as Stage 2 / NPA, or that concessions granted (rate reduction, tenor extension) constitute de-recognition events under Ind AS 109 not accounted for.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list of accounts restructured / modified during the year (OTR, COVID-19 restructuring, normal restructuring). (a) For each restructured account: confirm it was placed in Stage 2 (at minimum) at the time of restructuring; verify classification was not upgraded to Stage 1 within the 90-day probation period per RBI COVID restructuring circular; (b) Under Ind AS 109: for 10 sampled modifications — compute whether modification is substantial (≥ 10% difference in PV of cash flows using original effective interest rate); if substantial — de-recognise old loan, recognise new loan at fair value, book gain/loss; if not substantial — recognise modification gain/loss in P&amp;L; (c) Confirm FOIR (Fixed Obligation to Income Ratio) post-restructuring is documented; (d) For AS NBFCs: verify restructured accounts are in 'Restructured Standard', 'Restructured Sub-Standard', etc. per RBI Prudential Norms. Expected outcome: All restructured accounts in Stage 2 or NPA; modification accounting applied per Ind AS 109 / RBI norms. Exception protocol: Misclassified restructured loan — reclassify; propose additional ECL provision. Assertion: [EXI, ACC, VAL]. Reference: SA 540, Para 8–15; SA 330, Para 18.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330, Para 18;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109, Para 5.4 (Modifications); RBI Circular on COVID-19 Regulatory Package; RBI Master Direction — NBFC Prudential Norms — Restructured Accounts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Top 10 Borrower Concentration Analysis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concentration to top borrowers creates unidentified credit risk, or that single / group borrower exposure limits are exceeded.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Analytics)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list of top 10 borrowers by aggregate outstanding as at 31 March. (a) For each: verify exposure (fund + non-fund based) against RBI single borrower limit (15% of owned funds) and group borrower limit (25% of owned funds); confirm owned funds figure from capital computation; (b) Assess credit quality of top 10 — NPA / SMA status; last credit review date; collateral coverage; (c) Compute: Top 10 exposure / Gross AUM — flag if &gt; 30% as concentration risk; (d) Compare top 10 list to prior year — identify new entrants (rapid growth in large exposures may indicate connected lending). [Tool: T-03 Corporate Intelligence (intel.varma.ai) — Verify corporate profile, group companies, and adverse media for top 10 borrowers] Expected outcome: No exposure exceeds single/group borrower limits; top 10 in performing category. Exception protocol: Limit breach — propose reduction plan; report in management letter. Assertion: [EXI, VAL, COM]. Reference: SA 315, Para 28; SA 330, Para 18.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315, Para 28; SA 330, Para 18; SA 520, Para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Direction — NBFC SBR 2023 — Single Borrower and Group Borrower Limits (15% / 25% of Owned Funds)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Concentration analytics; top-10 exposure % of AUM; trend vs prior year]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Securitisation &amp; Direct Assignment of Receivables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securitised assets are incorrectly de-recognised (continuing involvement not identified), or that the NBFC retains residual risk that should be disclosed.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securitisation register for the year (all pools assigned / securitised). (a) For each securitisation / DA transaction: verify de-recognition criteria under Ind AS 109 (transfer of substantially all risks and rewards); if minimum retention (MRR — 10% for term loans per RBI) retained: confirm MRR is retained on balance sheet as investment in PTCs; (b) Confirm excess spread (residual interest strips) is recognised at fair value as a retained interest; (c) For direct assignment transactions: verify the DA certificate, pool composition, credit enhancement level, and servicer role documentation; (d) Confirm off-balance sheet DA pools are disclosed in notes (Schedule III / Ind AS 107 — transferred financial assets); (e) Under AS: verify derecognition per AS 19 / AS 13 as applicable; confirm securitisation losses booked immediately. Expected outcome: De-recognition appropriate; MRR on balance sheet; retained interests at fair value; full disclosure. Exception protocol: Improper derecognition — bring back on balance sheet; compute additional provision. Assertion: [EXI, COM, VAL]. Reference: SA 540, Para 8; SA 500, Para 7.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8; SA 500, Para 7;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Ind AS 109, Para 3.2 (Derecognition); RBI Master Direction on Securitisation (Sep 2021); RBI Master Direction on Direct Assignment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 — review DA certificates and pool statements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LOAN-008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Collections &amp; Recovery — Provisioning Policy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collections are incorrectly allocated between principal and interest (reversing overstatement of income), or that recoveries from written-off accounts are not correctly recognised.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collections data for the year from the LMS. (a) For a sample of 20 NPA accounts with part-payments received: verify that collections are first applied to interest, then principal (per RBI prudential norms — income recognition on NPA accounts is cash basis only); confirm no income recognised on NPA accounts beyond actual cash collected; (b) For written-off accounts with recovery during the year: confirm recovery is credited to provision (P&amp;L — reduction of credit loss charge) not to loan asset; (c) Verify provisioning policy compliance: for the sampled NPA accounts, recompute required provision (Sub-Standard: 15% for secured, 25% for unsecured; Doubtful I: 25%–100% depending on collateral; Loss: 100%); compare to booked provision; (d) For SARFAESI actions taken: verify security valuation is current (within 6 months); collateral shortfall provisioned. Expected outcome: Cash basis income on NPA; recoveries correctly treated; provisions adequate. Exception protocol: Provision shortfall — propose additional provision; if material, consider qualification. Assertion: [VAL, ACC, COM]. Reference: SA 540, Para 8; SA 330, Para 18–25.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8; SA 330, Para 18–25; SA 520, Para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Prudential Norms Direction (NBFC) — NPA Provisioning Requirements; SARFAESI Act 2002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TG NBFCs Ch. 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NPA provisioning adequacy computation; collection allocation analysis for sampled accounts]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WP-LOAN-08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A18695-AB11-424B-939C-B1713EFFD347}"/>
</file>

<file path=customXml/itemProps3.xml><?xml version="1.0" encoding="utf-8"?>
<ds:datastoreItem xmlns:ds="http://schemas.openxmlformats.org/officeDocument/2006/customXml" ds:itemID="{ABCDA947-7CBD-4561-819A-A9554FD5088F}"/>
</file>

<file path=customXml/itemProps4.xml><?xml version="1.0" encoding="utf-8"?>
<ds:datastoreItem xmlns:ds="http://schemas.openxmlformats.org/officeDocument/2006/customXml" ds:itemID="{518322E2-6D4D-467C-9084-A132D8F815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