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REGULATORY COMPLIANCE (NBFC — NOF, CRAR, LEVERAGE, NBS RETURNS, CERSAI, CRILC, FPC, KYC/AML, SBR, IT AUDIT)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NB.REG.00  |  Framework: AS / Ind AS (noted per procedure)  |  Governing: RBI Master Direction — NBFC Scale Based Regulation 2023; RBI Prudential Norms Direction; PMLA 2002;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Technical Guide on Audit of NBFCs (2023 Edition) — Chapter 9 (Regulatory Compliance); Chapter 10 (Reporting Requirements)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Net Owned Fund (NOF) — Computation &amp;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NOF is overstated (ineligible items included) leading to CRAR and deposit ceiling misstatement.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Recompute NOF = Tier I Capital (paid-up equity + free reserves + share premium + capital reserve + retained earnings) less deductions (accumulated losses, intangibles, DTA above threshold, investments in subsidiaries and group companies exceeding limit). Agree Tier I components to GL / balance sheet. Verify deductions are complete. Confirm NOF ≥ ₹10 crore (for Base Layer NBFCs) / ₹100 crore (for Middle Layer) / ₹500 crore (for Upper Layer) or applicable threshold per RBI SBR 2023. Expected outcome: NOF recomputes within ₹[materiality]; meets regulatory minimum. Exception protocol: Below minimum — going concern assessment (SA 570); regulatory reporting. Assertion: [EXI, VAL, COM]. Reference: SA 570, Para 16;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570, Para 16; SA 250, Para 14; SA 540,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Net Owned Fund Definition and Minimum Requirements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GL and balance sheet cross-reference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CRAR — Tier I &amp; Tier II Capital Adequacy Computation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CRAR is overstated through ineligible capital items, incorrect risk weights, or failure to apply required haircuts to Tier II instruments.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CRAR computation. Verify: (a) Tier I: same as NOF plus any eligible AT1 instruments; (b) Tier II: sub-debt (haircut applied per residual maturity); general provisions (capped at 1.25% of RWA); (c) RWA: verify risk weights for loan categories (100% for standard corporate loans, 125% for consumer credit, 150% for CRE, 75% for MSME retail if compliant); for a sample of 20 exposures — recompute RWA; (d) Minimum CRAR: Middle Layer ≥ 15%; Upper Layer ≥ 15% (plus CCB if applicable); Base Layer — no CRAR requirement but NOF minimum applies. Expected outcome: CRAR meets applicable minimum. Exception protocol: Below minimum — SA 570; immediate escalation. Assertion: [EXI, VAL, COM]. Reference: SA 570; SA 250;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570, Para 16; SA 250, Para 14; SA 540,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CRAR Requirements (Middle and Upper Layer)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RWA recomputation for sampled exposures]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Leverage Ratio Compliance (Upper Layer NBFCs)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Upper Layer NBFC's leverage (total assets / Tier I capital) exceeds RBI limit of 7× without RBI approval.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(Upper Layer only)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to Upper Layer NBFCs only. Compute leverage ratio = Total On-Balance Sheet Assets / Tier I Capital. Verify: (a) Total assets per balance sheet; (b) Tier I from CRAR computation (WP-REG-02); (c) Ratio ≤ 7× (or applicable RBI-specified limit); (d) If off-balance sheet exposures are material — assess whether RBI requires inclusion in leverage computation; (e) Compare to prior year trend — increasing leverage towards limit is an early warning indicator. Expected outcome: Leverage ≤ 7×. Exception protocol: Exceeds 7× — regulatory violation; SA 570 assessment; report to management and TCWG. Assertion: [COM, EXI, VAL]. Reference: SA 570;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570, Para 16;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Leverage Ratio for Upper Layer NBFCs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leverage ratio computation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Returns Verification — NBS-1, NBS-2, NBS-4, NBS-6, NBS-7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RBI statutory returns contain incorrect data (not reconciling to financial statements) or that returns are not filed within prescribed timelines.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copies of all RBI statutory returns filed during the year. (a) NBS-1 (Deposits and Borrowings — quarterly): agree total deposits and borrowings to balance sheet; (b) NBS-2 (Assets and Liabilities — half-yearly): agree total assets to balance sheet; (c) NBS-4 (Annual Return of NBFC-ND-SI): agree NOF, CRAR, NPA ratios to workpapers; (d) NBS-6 (Quarterly return — exposure, concentration): agree top borrower exposure to WP-LOAN-06; (e) NBS-7 (Annual Financial Return — NBFC-D): agree deposit total to public deposit register. For each return: verify filing date ≤ prescribed deadline; agree key figures to audited/draft financial data. Expected outcome: All returns filed on time; key figures agree to audited data. Exception protocol: Late filing — note as regulatory default; figure mismatch — reconcile and correct via revised return. Assertion: [COM, EXI, ACC]. Reference: SA 250; SA 580.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580, Para 10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NBS Returns Filing Obligation; RBI Act 1934, Section 45C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returns vs financial statements reconciliation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CERSAI Charge Registration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security interests created on loan collateral are not registered with CERSAI within 30 days, invalidating security perfection and resulting in unsecured lending reported as secured.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CERSAI registration report from loan system — all charges created during the year. (a) For a sample of 30 secured loans (mortgage / hypothecation): verify CERSAI registration was completed within 30 days of charge creation; obtain CERSAI search certificate; (b) For charges discharged during the year (loan repaid): confirm CERSAI satisfaction was filed within 30 days of repayment; (c) Identify any loans classified as secured where CERSAI registration is missing — reclassify as effectively unsecured for provisioning purposes. Expected outcome: All sampled charges registered within 30 days. Exception protocol: Unregistered charges — quantify unsecured exposure; recompute NPA provision at unsecured rate. Assertion: [COM, EXI]. Reference: SA 250, Para 14; SA 330.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SARFAESI Act 2002, Section 26B — CERSAI Registration; CERSAI Rules 2011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CERSAI portal verification for sampled loans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CRILC Reporting Compliance — Large Exposure Thresholds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CRILC submissions are incomplete (omit eligible borrowers) or data is inconsistent with the NBFC's own loan system, leading to incorrect credit bureau information.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CRILC quarterly submissions (Q1–Q4). (a) For Q4 submission: extract all borrowers with aggregate exposure ≥ ₹5 crore from CRILC; agree count and amounts to LMS; confirm no eligible borrower omitted; (b) For 30 sampled borrowers in CRILC: agree outstanding, SMA classification (SMA-0/1/2), and NPA status to LMS as at reporting date; (c) Confirm SMA recognition is based on DPD — SMA-0 (1–30), SMA-1 (31–60), SMA-2 (61–90) — consistent with LMS flags; (d) Verify CRILC submission is on XBRL format as prescribed by RBI. Expected outcome: CRILC complete; no eligible borrower omitted; data agrees to LMS. Exception protocol: Omitted borrower or systematic data mismatch — file revised CRILC; assess regulatory penalty. Assertion: [COM, EXI, ACC]. Reference: SA 250;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CRILC Reporting Guidelines — Threshold ≥ ₹5 Crore Aggregate Exposure; RBI Master Direction — NBFC SBR 2023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CRILC population completeness check; LMS vs CRILC SMA cross-match]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Fair Practices Code &amp; Grievance Redressal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NBFC's loan terms, recovery practices, or customer communication violate RBI Fair Practices Code, creating regulatory and reputational risk.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Walkthrough)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RBI Fair Practices Code (FPC) policy adopted by the Board and most recent FPC compliance report submitted to Board/ACB. (a) Verify FPC is published on website; loan application acknowledgement is issued within 30 days; reasons for rejection communicated to borrowers; (b) Recovery practices: obtain last 3 months of recovery agent complaints; verify no complaints of physical coercion or harassment; confirm recovery agents are trained and certified per IBA guidelines; (c) Grievance Redressal: verify Grievance Redressal Officer (GRO) is appointed and publicly disclosed; complaints registered and resolved within 30 days; escalation to RBI Ombudsman where applicable; (d) Digital lending specific: KFS compliance, cooling-off period, no auto-debit without explicit consent (per RBI Digital Lending Guidelines Sep 2022). Expected outcome: FPC policy in place; recovery complaints addressed; GRO active; KFS compliance confirmed. Exception protocol: Recovery complaints of coercion — immediate escalation to partner; SA 250 assessment. Assertion: [COM, EXI]. Reference: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Fair Practices Code for NBFCs; RBI Digital Lending Guidelines (Sep 2022) — Customer Protection; RBI Integrated Ombudsman Scheme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FPC compliance report review and website check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KYC / AML Programme (PMLA 2002 Compliance)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NBFC's KYC/AML programme has material deficiencies (incomplete due diligence, delayed STR/CTR filing) similar to banking sector risks.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Execute risk-based KYC/AML testing programme: (a) For a sample of 40 borrowers onboarded during the year (20 individuals, 20 corporates): verify OVDs obtained; BO declaration for corporates (&gt; 25% shareholding — PMLA Rule 9); V-CIP for digital onboarding; (b) CTR filings: verify all cash transactions ≥ ₹10 lakh filed with FIU-IND within 15 days; obtain CTR register; sample 10 CTRs; (c) STR filings: verify all STRs filed within 7 days of suspicion crystallisation; check for unusual loan disbursement and repayment patterns; (d) Periodic re-verification: High Risk accounts re-verified every 2 years; confirm compliance; (e) Agree KYC/AML programme report to Board minutes. Expected outcome: KYC/AML programme adequate; CTR/STR timelines met. Exception protocol: KYC gaps for high-risk borrowers — escalate; PMLA Section 12 implications. [Tool: T-03 Corporate Intelligence (intel.varma.ai) — Adverse media and PEP screening for sampled high-risk borrowers] Assertion: [COM, EXI].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PMLA 2002, Section 12; PMLA Rules 2005, Rule 9; RBI KYC Master Direction (2016 as updated); 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T-03 Corporate Intelligence (intel.varma.ai) — Adverse media / PEP screening for high-risk borrowers]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SBR Layer Classification Review — BL / ML / UL Compliance Triggers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NBFC is operating at a higher SBR layer (Middle or Upper) without complying with enhanced regulatory requirements, or that it is misclassified at a lower layer to avoid compliance obligations.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NBFC's self-assessment of SBR layer classification per RBI Master Direction SBR 2023. (a) Verify asset size: if total assets ≥ ₹1,000 crore (Middle Layer threshold) — confirm CRAR 15%, CG compliance, CDD enhanced; if ≥ ₹50,000 crore or systemically important (determined by RBI) — Upper Layer; (b) Check activity-based classification triggers: if NBFC conducts deposit acceptance — NBFC-D; investment company — NBFC-IC; microfinance — NBFC-MFI; housing finance — HFC; (c) Verify no exemption from CRAR is wrongly claimed (Base Layer NBFCs may be exempt); (d) Confirm RBI's latest communication on the NBFC's layer classification — if RBI has placed NBFC in Upper Layer, additional disclosures (Pillar 3 equivalent) are required. Expected outcome: Layer classification is correct and consistent with RBI's records; applicable regulatory requirements are complied with. Exception protocol: Misclassification (operating at Base Layer while meeting Middle Layer triggers) — propose corrective action; report under SA 250. Assertion: [COM, EXI].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Scale Based Regulation 2023 — Layer Classification Criteria; RBI List of Upper Layer NBFCs (published annually)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compare NBFC profile to RBI SBR 2023 layer criteria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WP-REG-09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REG-010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IT &amp; Cybersecurity Audit (Upper Layer — RBI IS Audit Requirements)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applicable to Upper Layer NBFCs that IT General Controls are inadequate and that RBI IS Audit requirements (annual independent IS audit) have not been complied with.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(Upper Layer only)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IT Controls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to Upper Layer NBFCs (and Middle Layer NBFCs with significant digital operations): (a) Verify annual IS (Information Security) Audit has been conducted by a CISA/DISA-qualified independent auditor; confirm IS Audit report is submitted to Board and RBI within prescribed timeline; (b) Core ITGC review (analogous to WP-REG-07 of BK section): privileged access controls, change management, batch job integrity, DR testing — adapted for NBFC's loan management system (LMS) and digital lending platform; (c) Cyber Incident Log: obtain incidents reported during the year; confirm incidents above RBI threshold reported per RBI Cybersecurity Framework; (d) Assess reliance on LMS-generated reports for audit — state conclusion on IT reliance. Expected outcome: Annual IS Audit conducted; ITGCs adequate; cyber incidents reported; LMS reliance appropriate. Exception protocol: No IS Audit — SA 250 regulatory non-compliance; ITGC failure — expand substantive procedures; do not rely on LMS data for affected processes. Assertion: [EXI, COM, ACC]. Reference: SA 315, Para 12–19; SA 402;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315, Para 12–19; SA 402, Para 9;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IT and Cybersecurity Requirements for Upper Layer; RBI Cybersecurity Framework; 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IS Audit report review; ITGC walkthrough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WP-REG-10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5B6DD7-9AF5-44C0-BE2F-829D61C6EE57}"/>
</file>

<file path=customXml/itemProps3.xml><?xml version="1.0" encoding="utf-8"?>
<ds:datastoreItem xmlns:ds="http://schemas.openxmlformats.org/officeDocument/2006/customXml" ds:itemID="{D97BE682-08F0-4F71-BA75-22C446120F3B}"/>
</file>

<file path=customXml/itemProps4.xml><?xml version="1.0" encoding="utf-8"?>
<ds:datastoreItem xmlns:ds="http://schemas.openxmlformats.org/officeDocument/2006/customXml" ds:itemID="{6E91984D-5C15-4676-B4C7-CCC4DEEADE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