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Arial" w:hAnsi="Arial"/>
          <w:b/>
          <w:i w:val="0"/>
          <w:sz w:val="26"/>
        </w:rPr>
        <w:t>INDEPENDENT AUDITOR'S REPORT</w:t>
      </w:r>
    </w:p>
    <w:p>
      <w:pPr>
        <w:spacing w:before="80" w:after="80"/>
        <w:jc w:val="left"/>
      </w:pPr>
      <w:r>
        <w:rPr>
          <w:rFonts w:ascii="Arial" w:hAnsi="Arial"/>
          <w:b/>
          <w:i w:val="0"/>
          <w:sz w:val="22"/>
        </w:rPr>
        <w:t>To the Members of [Name of the NBFC]</w:t>
      </w:r>
    </w:p>
    <w:p>
      <w:pPr>
        <w:spacing w:before="40" w:after="40"/>
        <w:pBdr>
          <w:bottom w:val="single" w:sz="6" w:space="1" w:color="1F4E79"/>
        </w:pBdr>
      </w:pPr>
    </w:p>
    <w:p/>
    <w:p>
      <w:pPr>
        <w:spacing w:before="160" w:after="80"/>
      </w:pPr>
      <w:r>
        <w:rPr>
          <w:rFonts w:ascii="Arial" w:hAnsi="Arial"/>
          <w:b/>
          <w:i w:val="0"/>
          <w:sz w:val="24"/>
        </w:rPr>
        <w:t>REPORT ON THE AUDIT OF THE FINANCIAL STATEMENTS</w:t>
      </w:r>
    </w:p>
    <w:p>
      <w:pPr>
        <w:spacing w:before="160" w:after="80"/>
      </w:pPr>
      <w:r>
        <w:rPr>
          <w:rFonts w:ascii="Arial" w:hAnsi="Arial"/>
          <w:b/>
          <w:i w:val="0"/>
          <w:sz w:val="22"/>
        </w:rPr>
        <w:t>Opinion</w:t>
      </w:r>
    </w:p>
    <w:p>
      <w:pPr>
        <w:spacing w:before="80" w:after="80"/>
        <w:jc w:val="left"/>
      </w:pPr>
      <w:r>
        <w:rPr>
          <w:rFonts w:ascii="Arial" w:hAnsi="Arial"/>
          <w:b w:val="0"/>
          <w:i w:val="0"/>
          <w:sz w:val="20"/>
        </w:rPr>
        <w:t>We have audited the accompanying financial statements of [Name of the NBFC] ('the Company'), which comprise the Balance Sheet as at 31st March 20XX, and the Statement of Profit and Loss and the Cash Flow Statement for the year then ended, and notes to the financial statements, including material accounting policies and other explanatory information.</w:t>
      </w:r>
    </w:p>
    <w:p>
      <w:pPr>
        <w:spacing w:before="80" w:after="80"/>
        <w:jc w:val="left"/>
      </w:pPr>
      <w:r>
        <w:rPr>
          <w:rFonts w:ascii="Arial" w:hAnsi="Arial"/>
          <w:b w:val="0"/>
          <w:i w:val="0"/>
          <w:sz w:val="20"/>
        </w:rPr>
        <w:t>In our opinion and to the best of our information and according to the explanations given to us, the aforesaid financial statements give the information required by the Companies Act, 2013 ('the Act') in the manner so required and give a true and fair view in conformity with the accounting principles generally accepted in India, of the state of affairs of the Company as at 31st March 20XX, and its profit / loss and its cash flows for the year ended on that date.</w:t>
      </w:r>
    </w:p>
    <w:p>
      <w:pPr>
        <w:spacing w:before="160" w:after="80"/>
      </w:pPr>
      <w:r>
        <w:rPr>
          <w:rFonts w:ascii="Arial" w:hAnsi="Arial"/>
          <w:b/>
          <w:i w:val="0"/>
          <w:sz w:val="22"/>
        </w:rPr>
        <w:t>Basis for Opinion</w:t>
      </w:r>
    </w:p>
    <w:p>
      <w:pPr>
        <w:spacing w:before="80" w:after="80"/>
        <w:jc w:val="left"/>
      </w:pPr>
      <w:r>
        <w:rPr>
          <w:rFonts w:ascii="Arial" w:hAnsi="Arial"/>
          <w:b w:val="0"/>
          <w:i w:val="0"/>
          <w:sz w:val="20"/>
        </w:rPr>
        <w:t>We conducted our audit in accordance with the Standards on Auditing (SAs) specified under Section 143(10) of the Act. We are independent of the Company in accordance with the Code of Ethics issued by the ICAI together with the ethical requirements relevant to our audit. We believe that the audit evidence we have obtained is sufficient and appropriate to provide a basis for our opinion.</w:t>
      </w:r>
    </w:p>
    <w:p>
      <w:pPr>
        <w:spacing w:before="160" w:after="80"/>
      </w:pPr>
      <w:r>
        <w:rPr>
          <w:rFonts w:ascii="Arial" w:hAnsi="Arial"/>
          <w:b/>
          <w:i w:val="0"/>
          <w:sz w:val="22"/>
        </w:rPr>
        <w:t>Key Audit Matters</w:t>
      </w:r>
    </w:p>
    <w:tbl>
      <w:tblPr>
        <w:tblStyle w:val="TableGrid"/>
        <w:tblW w:type="auto" w:w="0"/>
        <w:tblLook w:firstColumn="1" w:firstRow="1" w:lastColumn="0" w:lastRow="0" w:noHBand="0" w:noVBand="1" w:val="04A0"/>
      </w:tblPr>
      <w:tblGrid>
        <w:gridCol w:w="7285"/>
        <w:gridCol w:w="7285"/>
      </w:tblGrid>
      <w:tr>
        <w:tc>
          <w:tcPr>
            <w:tcW w:type="dxa" w:w="5102"/>
            <w:vAlign w:val="top"/>
            <w:shd w:val="clear" w:color="auto" w:fill="1F4E79"/>
          </w:tcPr>
          <w:p>
            <w:pPr>
              <w:jc w:val="center"/>
            </w:pPr>
            <w:r>
              <w:rPr>
                <w:rFonts w:ascii="Arial" w:hAnsi="Arial"/>
                <w:b/>
                <w:i w:val="0"/>
                <w:color w:val="FFFFFF"/>
                <w:sz w:val="18"/>
              </w:rPr>
              <w:t>Key Audit Matter</w:t>
            </w:r>
          </w:p>
        </w:tc>
        <w:tc>
          <w:tcPr>
            <w:tcW w:type="dxa" w:w="6236"/>
            <w:vAlign w:val="top"/>
            <w:shd w:val="clear" w:color="auto" w:fill="1F4E79"/>
          </w:tcPr>
          <w:p>
            <w:pPr>
              <w:jc w:val="center"/>
            </w:pPr>
            <w:r>
              <w:rPr>
                <w:rFonts w:ascii="Arial" w:hAnsi="Arial"/>
                <w:b/>
                <w:i w:val="0"/>
                <w:color w:val="FFFFFF"/>
                <w:sz w:val="18"/>
              </w:rPr>
              <w:t>How Our Audit Addressed the Matter</w:t>
            </w:r>
          </w:p>
        </w:tc>
      </w:tr>
      <w:tr>
        <w:tc>
          <w:tcPr>
            <w:tcW w:type="dxa" w:w="5102"/>
            <w:vAlign w:val="top"/>
          </w:tcPr>
          <w:p>
            <w:pPr>
              <w:jc w:val="left"/>
            </w:pPr>
            <w:r>
              <w:rPr>
                <w:rFonts w:ascii="Arial" w:hAnsi="Arial"/>
                <w:b w:val="0"/>
                <w:i w:val="0"/>
                <w:sz w:val="18"/>
              </w:rPr>
              <w:t>1. Impairment of Loan Portfolio / ECL Provisioning</w:t>
              <w:br/>
              <w:br/>
              <w:t>The Company's loan portfolio aggregates ₹[XX] crore. The computation of Expected Credit Loss (ECL) under Ind AS 109 involves significant estimates: PD, LGD, EAD, staging criteria (Stage 1/2/3), and forward-looking macroeconomic adjustments. Changes in key assumptions can materially affect provision levels.</w:t>
            </w:r>
          </w:p>
        </w:tc>
        <w:tc>
          <w:tcPr>
            <w:tcW w:type="dxa" w:w="6236"/>
            <w:vAlign w:val="top"/>
          </w:tcPr>
          <w:p>
            <w:pPr>
              <w:jc w:val="left"/>
            </w:pPr>
            <w:r>
              <w:rPr>
                <w:rFonts w:ascii="Arial" w:hAnsi="Arial"/>
                <w:b w:val="0"/>
                <w:i w:val="0"/>
                <w:sz w:val="18"/>
              </w:rPr>
              <w:t>We assessed the Company's ECL model methodology against Ind AS 109 requirements and RBI's Master Direction on Implementation of Indian Accounting Standards. We tested a sample of [XX] accounts for correct staging. We evaluated management's overlay assumptions and stressed key PD/LGD inputs to assess sensitivity. We reviewed the disclosures in Note [XX] for adequacy.</w:t>
            </w:r>
          </w:p>
        </w:tc>
      </w:tr>
      <w:tr>
        <w:tc>
          <w:tcPr>
            <w:tcW w:type="dxa" w:w="5102"/>
            <w:vAlign w:val="top"/>
            <w:shd w:val="clear" w:color="auto" w:fill="EBF3FB"/>
          </w:tcPr>
          <w:p>
            <w:pPr>
              <w:jc w:val="left"/>
            </w:pPr>
            <w:r>
              <w:rPr>
                <w:rFonts w:ascii="Arial" w:hAnsi="Arial"/>
                <w:b w:val="0"/>
                <w:i w:val="0"/>
                <w:sz w:val="18"/>
              </w:rPr>
              <w:t>2. Fair Valuation of Financial Instruments (Ind AS 113)</w:t>
              <w:br/>
              <w:br/>
              <w:t>The Company holds financial assets at fair value through P&amp;L and OCI aggregating ₹[XX] crore. Valuation of Level 2 and Level 3 instruments involves judgement and use of models.</w:t>
            </w:r>
          </w:p>
        </w:tc>
        <w:tc>
          <w:tcPr>
            <w:tcW w:type="dxa" w:w="6236"/>
            <w:vAlign w:val="top"/>
            <w:shd w:val="clear" w:color="auto" w:fill="EBF3FB"/>
          </w:tcPr>
          <w:p>
            <w:pPr>
              <w:jc w:val="left"/>
            </w:pPr>
            <w:r>
              <w:rPr>
                <w:rFonts w:ascii="Arial" w:hAnsi="Arial"/>
                <w:b w:val="0"/>
                <w:i w:val="0"/>
                <w:sz w:val="18"/>
              </w:rPr>
              <w:t>We obtained the fair valuation reports from management's expert and assessed the appropriateness of valuation techniques and inputs. For Level 3 instruments, we challenged the assumptions and reviewed the reconciliation of opening to closing balances.</w:t>
            </w:r>
          </w:p>
        </w:tc>
      </w:tr>
      <w:tr>
        <w:tc>
          <w:tcPr>
            <w:tcW w:type="dxa" w:w="5102"/>
            <w:vAlign w:val="top"/>
          </w:tcPr>
          <w:p>
            <w:pPr>
              <w:jc w:val="left"/>
            </w:pPr>
            <w:r>
              <w:rPr>
                <w:rFonts w:ascii="Arial" w:hAnsi="Arial"/>
                <w:b w:val="0"/>
                <w:i w:val="0"/>
                <w:sz w:val="18"/>
              </w:rPr>
              <w:t>3. Revenue Recognition — Fee and Interest Income</w:t>
              <w:br/>
              <w:br/>
              <w:t>Interest income on loans (EIR method under Ind AS 109) and fee income recognition require judgement in computing EIR for loans with origination costs and fees.</w:t>
            </w:r>
          </w:p>
        </w:tc>
        <w:tc>
          <w:tcPr>
            <w:tcW w:type="dxa" w:w="6236"/>
            <w:vAlign w:val="top"/>
          </w:tcPr>
          <w:p>
            <w:pPr>
              <w:jc w:val="left"/>
            </w:pPr>
            <w:r>
              <w:rPr>
                <w:rFonts w:ascii="Arial" w:hAnsi="Arial"/>
                <w:b w:val="0"/>
                <w:i w:val="0"/>
                <w:sz w:val="18"/>
              </w:rPr>
              <w:t>We tested the EIR computation for a sample of [XX] loan products, verifying the EIR formula against origination fees, disbursement charges, and contractual cash flows. We verified that interest on Stage 3 assets has been suspended in accordance with Ind AS 109.</w:t>
            </w:r>
          </w:p>
        </w:tc>
      </w:tr>
    </w:tbl>
    <w:p/>
    <w:p>
      <w:pPr>
        <w:spacing w:before="160" w:after="80"/>
      </w:pPr>
      <w:r>
        <w:rPr>
          <w:rFonts w:ascii="Arial" w:hAnsi="Arial"/>
          <w:b/>
          <w:i w:val="0"/>
          <w:sz w:val="22"/>
        </w:rPr>
        <w:t>Responsibilities of Management and Those Charged with Governance</w:t>
      </w:r>
    </w:p>
    <w:p>
      <w:pPr>
        <w:spacing w:before="80" w:after="80"/>
        <w:jc w:val="left"/>
      </w:pPr>
      <w:r>
        <w:rPr>
          <w:rFonts w:ascii="Arial" w:hAnsi="Arial"/>
          <w:b w:val="0"/>
          <w:i w:val="0"/>
          <w:sz w:val="20"/>
        </w:rPr>
        <w:t>The Board of Directors of the Company is responsible for the matters stated in Section 134(5) of the Act with respect to the preparation of these financial statements that give a true and fair view of the financial position, financial performance and cash flows of the Company in accordance with the accounting principles generally accepted in India, including the Accounting Standards specified under Section 133 of the Act.</w:t>
      </w:r>
    </w:p>
    <w:p>
      <w:pPr>
        <w:spacing w:before="160" w:after="80"/>
      </w:pPr>
      <w:r>
        <w:rPr>
          <w:rFonts w:ascii="Arial" w:hAnsi="Arial"/>
          <w:b/>
          <w:i w:val="0"/>
          <w:sz w:val="22"/>
        </w:rPr>
        <w:t>Auditor's Responsibilities for the Audit</w:t>
      </w:r>
    </w:p>
    <w:p>
      <w:pPr>
        <w:spacing w:before="80" w:after="80"/>
        <w:jc w:val="left"/>
      </w:pPr>
      <w:r>
        <w:rPr>
          <w:rFonts w:ascii="Arial" w:hAnsi="Arial"/>
          <w:b w:val="0"/>
          <w:i w:val="0"/>
          <w:sz w:val="20"/>
        </w:rPr>
        <w:t>Our objectives are to obtain reasonable assurance about whether the financial statements as a whole are free from material misstatement, whether due to fraud or error. Our audit includes performing procedures in accordance with SA 240, including the two mandatory presumed fraud risks: revenue recognition and management override of controls. We also perform procedures under SA 550 (related parties), SA 560 (subsequent events), and SA 570 (going concern).</w:t>
      </w:r>
    </w:p>
    <w:p>
      <w:pPr>
        <w:spacing w:before="160" w:after="80"/>
      </w:pPr>
      <w:r>
        <w:rPr>
          <w:rFonts w:ascii="Arial" w:hAnsi="Arial"/>
          <w:b/>
          <w:i w:val="0"/>
          <w:sz w:val="22"/>
        </w:rPr>
        <w:t>Report on Other Legal and Regulatory Requirements</w:t>
      </w:r>
    </w:p>
    <w:p>
      <w:pPr>
        <w:spacing w:before="160" w:after="80"/>
      </w:pPr>
      <w:r>
        <w:rPr>
          <w:rFonts w:ascii="Arial" w:hAnsi="Arial"/>
          <w:b/>
          <w:i w:val="0"/>
          <w:sz w:val="20"/>
        </w:rPr>
        <w:t>I. Report under Section 143(3) of the Act</w:t>
      </w:r>
    </w:p>
    <w:p>
      <w:pPr>
        <w:spacing w:before="80" w:after="80"/>
        <w:jc w:val="left"/>
      </w:pPr>
      <w:r>
        <w:rPr>
          <w:rFonts w:ascii="Arial" w:hAnsi="Arial"/>
          <w:b w:val="0"/>
          <w:i w:val="0"/>
          <w:sz w:val="20"/>
        </w:rPr>
        <w:t>a) We have sought and obtained all the information and explanations necessary for the purposes of our audit;</w:t>
      </w:r>
    </w:p>
    <w:p>
      <w:pPr>
        <w:spacing w:before="80" w:after="80"/>
        <w:jc w:val="left"/>
      </w:pPr>
      <w:r>
        <w:rPr>
          <w:rFonts w:ascii="Arial" w:hAnsi="Arial"/>
          <w:b w:val="0"/>
          <w:i w:val="0"/>
          <w:sz w:val="20"/>
        </w:rPr>
        <w:t>b) In our opinion, proper books of account as required by law have been kept;</w:t>
      </w:r>
    </w:p>
    <w:p>
      <w:pPr>
        <w:spacing w:before="80" w:after="80"/>
        <w:jc w:val="left"/>
      </w:pPr>
      <w:r>
        <w:rPr>
          <w:rFonts w:ascii="Arial" w:hAnsi="Arial"/>
          <w:b w:val="0"/>
          <w:i w:val="0"/>
          <w:sz w:val="20"/>
        </w:rPr>
        <w:t>c) The Balance Sheet, Profit and Loss Account, and Cash Flow Statement are in agreement with the books of account;</w:t>
      </w:r>
    </w:p>
    <w:p>
      <w:pPr>
        <w:spacing w:before="80" w:after="80"/>
        <w:jc w:val="left"/>
      </w:pPr>
      <w:r>
        <w:rPr>
          <w:rFonts w:ascii="Arial" w:hAnsi="Arial"/>
          <w:b w:val="0"/>
          <w:i w:val="0"/>
          <w:sz w:val="20"/>
        </w:rPr>
        <w:t>d) The financial statements comply with the Accounting Standards / Indian Accounting Standards under Section 133 of the Act;</w:t>
      </w:r>
    </w:p>
    <w:p>
      <w:pPr>
        <w:spacing w:before="80" w:after="80"/>
        <w:jc w:val="left"/>
      </w:pPr>
      <w:r>
        <w:rPr>
          <w:rFonts w:ascii="Arial" w:hAnsi="Arial"/>
          <w:b w:val="0"/>
          <w:i w:val="0"/>
          <w:sz w:val="20"/>
        </w:rPr>
        <w:t>e) On the basis of written representations received from directors, none of the directors is disqualified as at 31st March 20XX from being appointed as a director;</w:t>
      </w:r>
    </w:p>
    <w:p>
      <w:pPr>
        <w:spacing w:before="80" w:after="80"/>
        <w:jc w:val="left"/>
      </w:pPr>
      <w:r>
        <w:rPr>
          <w:rFonts w:ascii="Arial" w:hAnsi="Arial"/>
          <w:b w:val="0"/>
          <w:i w:val="0"/>
          <w:sz w:val="20"/>
        </w:rPr>
        <w:t>f) With respect to adequacy of internal financial controls and their operating effectiveness — refer Annexure A;</w:t>
      </w:r>
    </w:p>
    <w:p>
      <w:pPr>
        <w:spacing w:before="80" w:after="80"/>
        <w:jc w:val="left"/>
      </w:pPr>
      <w:r>
        <w:rPr>
          <w:rFonts w:ascii="Arial" w:hAnsi="Arial"/>
          <w:b w:val="0"/>
          <w:i w:val="0"/>
          <w:sz w:val="20"/>
        </w:rPr>
        <w:t>g) Matters under Rule 11 — (i) Pending litigation disclosed in Note [XX]; (ii) No material foreseeable losses on long-term contracts; (iii) No delays in IEPF transfers.</w:t>
      </w:r>
    </w:p>
    <w:p>
      <w:pPr>
        <w:spacing w:before="160" w:after="80"/>
      </w:pPr>
      <w:r>
        <w:rPr>
          <w:rFonts w:ascii="Arial" w:hAnsi="Arial"/>
          <w:b/>
          <w:i w:val="0"/>
          <w:sz w:val="20"/>
        </w:rPr>
        <w:t>II. Report as required by the Companies (Auditor's Report) Order, 2020 (CARO)</w:t>
      </w:r>
    </w:p>
    <w:p>
      <w:pPr>
        <w:spacing w:before="80" w:after="80"/>
        <w:jc w:val="left"/>
      </w:pPr>
      <w:r>
        <w:rPr>
          <w:rFonts w:ascii="Arial" w:hAnsi="Arial"/>
          <w:b w:val="0"/>
          <w:i w:val="0"/>
          <w:sz w:val="20"/>
        </w:rPr>
        <w:t>[CARO 2020 report in the prescribed format follows as a separate Annexure B. Key CARO observations include:]</w:t>
      </w:r>
    </w:p>
    <w:tbl>
      <w:tblPr>
        <w:tblStyle w:val="TableGrid"/>
        <w:tblW w:type="auto" w:w="0"/>
        <w:tblLook w:firstColumn="1" w:firstRow="1" w:lastColumn="0" w:lastRow="0" w:noHBand="0" w:noVBand="1" w:val="04A0"/>
      </w:tblPr>
      <w:tblGrid>
        <w:gridCol w:w="7285"/>
        <w:gridCol w:w="7285"/>
      </w:tblGrid>
      <w:tr>
        <w:tc>
          <w:tcPr>
            <w:tcW w:type="dxa" w:w="2835"/>
            <w:vAlign w:val="top"/>
            <w:shd w:val="clear" w:color="auto" w:fill="1F4E79"/>
          </w:tcPr>
          <w:p>
            <w:pPr>
              <w:jc w:val="center"/>
            </w:pPr>
            <w:r>
              <w:rPr>
                <w:rFonts w:ascii="Arial" w:hAnsi="Arial"/>
                <w:b/>
                <w:i w:val="0"/>
                <w:color w:val="FFFFFF"/>
                <w:sz w:val="18"/>
              </w:rPr>
              <w:t>CARO Clause</w:t>
            </w:r>
          </w:p>
        </w:tc>
        <w:tc>
          <w:tcPr>
            <w:tcW w:type="dxa" w:w="8504"/>
            <w:vAlign w:val="top"/>
            <w:shd w:val="clear" w:color="auto" w:fill="1F4E79"/>
          </w:tcPr>
          <w:p>
            <w:pPr>
              <w:jc w:val="center"/>
            </w:pPr>
            <w:r>
              <w:rPr>
                <w:rFonts w:ascii="Arial" w:hAnsi="Arial"/>
                <w:b/>
                <w:i w:val="0"/>
                <w:color w:val="FFFFFF"/>
                <w:sz w:val="18"/>
              </w:rPr>
              <w:t>Observation</w:t>
            </w:r>
          </w:p>
        </w:tc>
      </w:tr>
      <w:tr>
        <w:tc>
          <w:tcPr>
            <w:tcW w:type="dxa" w:w="2835"/>
            <w:vAlign w:val="top"/>
          </w:tcPr>
          <w:p>
            <w:pPr>
              <w:jc w:val="left"/>
            </w:pPr>
            <w:r>
              <w:rPr>
                <w:rFonts w:ascii="Arial" w:hAnsi="Arial"/>
                <w:b w:val="0"/>
                <w:i w:val="0"/>
                <w:sz w:val="18"/>
              </w:rPr>
              <w:t>Clause 3(i) — Fixed Assets</w:t>
            </w:r>
          </w:p>
        </w:tc>
        <w:tc>
          <w:tcPr>
            <w:tcW w:type="dxa" w:w="8504"/>
            <w:vAlign w:val="top"/>
          </w:tcPr>
          <w:p>
            <w:pPr>
              <w:jc w:val="left"/>
            </w:pPr>
            <w:r>
              <w:rPr>
                <w:rFonts w:ascii="Arial" w:hAnsi="Arial"/>
                <w:b w:val="0"/>
                <w:i w:val="0"/>
                <w:sz w:val="18"/>
              </w:rPr>
              <w:t>[Physical verification conducted / not conducted by management; title deeds verified / pending]</w:t>
            </w:r>
          </w:p>
        </w:tc>
      </w:tr>
      <w:tr>
        <w:tc>
          <w:tcPr>
            <w:tcW w:type="dxa" w:w="2835"/>
            <w:vAlign w:val="top"/>
            <w:shd w:val="clear" w:color="auto" w:fill="EBF3FB"/>
          </w:tcPr>
          <w:p>
            <w:pPr>
              <w:jc w:val="left"/>
            </w:pPr>
            <w:r>
              <w:rPr>
                <w:rFonts w:ascii="Arial" w:hAnsi="Arial"/>
                <w:b w:val="0"/>
                <w:i w:val="0"/>
                <w:sz w:val="18"/>
              </w:rPr>
              <w:t>Clause 3(ii) — Inventory</w:t>
            </w:r>
          </w:p>
        </w:tc>
        <w:tc>
          <w:tcPr>
            <w:tcW w:type="dxa" w:w="8504"/>
            <w:vAlign w:val="top"/>
            <w:shd w:val="clear" w:color="auto" w:fill="EBF3FB"/>
          </w:tcPr>
          <w:p>
            <w:pPr>
              <w:jc w:val="left"/>
            </w:pPr>
            <w:r>
              <w:rPr>
                <w:rFonts w:ascii="Arial" w:hAnsi="Arial"/>
                <w:b w:val="0"/>
                <w:i w:val="0"/>
                <w:sz w:val="18"/>
              </w:rPr>
              <w:t>N.A. — NBFC (no inventory)</w:t>
            </w:r>
          </w:p>
        </w:tc>
      </w:tr>
      <w:tr>
        <w:tc>
          <w:tcPr>
            <w:tcW w:type="dxa" w:w="2835"/>
            <w:vAlign w:val="top"/>
          </w:tcPr>
          <w:p>
            <w:pPr>
              <w:jc w:val="left"/>
            </w:pPr>
            <w:r>
              <w:rPr>
                <w:rFonts w:ascii="Arial" w:hAnsi="Arial"/>
                <w:b w:val="0"/>
                <w:i w:val="0"/>
                <w:sz w:val="18"/>
              </w:rPr>
              <w:t>Clause 3(iii) — Investments / Loans to Companies</w:t>
            </w:r>
          </w:p>
        </w:tc>
        <w:tc>
          <w:tcPr>
            <w:tcW w:type="dxa" w:w="8504"/>
            <w:vAlign w:val="top"/>
          </w:tcPr>
          <w:p>
            <w:pPr>
              <w:jc w:val="left"/>
            </w:pPr>
            <w:r>
              <w:rPr>
                <w:rFonts w:ascii="Arial" w:hAnsi="Arial"/>
                <w:b w:val="0"/>
                <w:i w:val="0"/>
                <w:sz w:val="18"/>
              </w:rPr>
              <w:t>[Details of loans granted to subsidiaries/associates/related parties — ₹XX crore — terms and conditions not prejudicial to interest / prejudicial observations if any]</w:t>
            </w:r>
          </w:p>
        </w:tc>
      </w:tr>
      <w:tr>
        <w:tc>
          <w:tcPr>
            <w:tcW w:type="dxa" w:w="2835"/>
            <w:vAlign w:val="top"/>
            <w:shd w:val="clear" w:color="auto" w:fill="EBF3FB"/>
          </w:tcPr>
          <w:p>
            <w:pPr>
              <w:jc w:val="left"/>
            </w:pPr>
            <w:r>
              <w:rPr>
                <w:rFonts w:ascii="Arial" w:hAnsi="Arial"/>
                <w:b w:val="0"/>
                <w:i w:val="0"/>
                <w:sz w:val="18"/>
              </w:rPr>
              <w:t>Clause 3(iv) — Loans, Investments, Guarantees u/s 185-186</w:t>
            </w:r>
          </w:p>
        </w:tc>
        <w:tc>
          <w:tcPr>
            <w:tcW w:type="dxa" w:w="8504"/>
            <w:vAlign w:val="top"/>
            <w:shd w:val="clear" w:color="auto" w:fill="EBF3FB"/>
          </w:tcPr>
          <w:p>
            <w:pPr>
              <w:jc w:val="left"/>
            </w:pPr>
            <w:r>
              <w:rPr>
                <w:rFonts w:ascii="Arial" w:hAnsi="Arial"/>
                <w:b w:val="0"/>
                <w:i w:val="0"/>
                <w:sz w:val="18"/>
              </w:rPr>
              <w:t>[Complied / Non-compliant — details below]</w:t>
            </w:r>
          </w:p>
        </w:tc>
      </w:tr>
      <w:tr>
        <w:tc>
          <w:tcPr>
            <w:tcW w:type="dxa" w:w="2835"/>
            <w:vAlign w:val="top"/>
          </w:tcPr>
          <w:p>
            <w:pPr>
              <w:jc w:val="left"/>
            </w:pPr>
            <w:r>
              <w:rPr>
                <w:rFonts w:ascii="Arial" w:hAnsi="Arial"/>
                <w:b w:val="0"/>
                <w:i w:val="0"/>
                <w:sz w:val="18"/>
              </w:rPr>
              <w:t>Clause 3(ix) — Default on Loans</w:t>
            </w:r>
          </w:p>
        </w:tc>
        <w:tc>
          <w:tcPr>
            <w:tcW w:type="dxa" w:w="8504"/>
            <w:vAlign w:val="top"/>
          </w:tcPr>
          <w:p>
            <w:pPr>
              <w:jc w:val="left"/>
            </w:pPr>
            <w:r>
              <w:rPr>
                <w:rFonts w:ascii="Arial" w:hAnsi="Arial"/>
                <w:b w:val="0"/>
                <w:i w:val="0"/>
                <w:sz w:val="18"/>
              </w:rPr>
              <w:t>[No default / Default on repayment of loans to banks/FIs — details below]</w:t>
            </w:r>
          </w:p>
        </w:tc>
      </w:tr>
      <w:tr>
        <w:tc>
          <w:tcPr>
            <w:tcW w:type="dxa" w:w="2835"/>
            <w:vAlign w:val="top"/>
            <w:shd w:val="clear" w:color="auto" w:fill="EBF3FB"/>
          </w:tcPr>
          <w:p>
            <w:pPr>
              <w:jc w:val="left"/>
            </w:pPr>
            <w:r>
              <w:rPr>
                <w:rFonts w:ascii="Arial" w:hAnsi="Arial"/>
                <w:b w:val="0"/>
                <w:i w:val="0"/>
                <w:sz w:val="18"/>
              </w:rPr>
              <w:t>Clause 3(xi) — Fraud</w:t>
            </w:r>
          </w:p>
        </w:tc>
        <w:tc>
          <w:tcPr>
            <w:tcW w:type="dxa" w:w="8504"/>
            <w:vAlign w:val="top"/>
            <w:shd w:val="clear" w:color="auto" w:fill="EBF3FB"/>
          </w:tcPr>
          <w:p>
            <w:pPr>
              <w:jc w:val="left"/>
            </w:pPr>
            <w:r>
              <w:rPr>
                <w:rFonts w:ascii="Arial" w:hAnsi="Arial"/>
                <w:b w:val="0"/>
                <w:i w:val="0"/>
                <w:sz w:val="18"/>
              </w:rPr>
              <w:t>[No fraud noted / Fraud details as per Sec 143(12) Certificate]</w:t>
            </w:r>
          </w:p>
        </w:tc>
      </w:tr>
      <w:tr>
        <w:tc>
          <w:tcPr>
            <w:tcW w:type="dxa" w:w="2835"/>
            <w:vAlign w:val="top"/>
          </w:tcPr>
          <w:p>
            <w:pPr>
              <w:jc w:val="left"/>
            </w:pPr>
            <w:r>
              <w:rPr>
                <w:rFonts w:ascii="Arial" w:hAnsi="Arial"/>
                <w:b w:val="0"/>
                <w:i w:val="0"/>
                <w:sz w:val="18"/>
              </w:rPr>
              <w:t>Clause 3(xvi) — NBFC Registration</w:t>
            </w:r>
          </w:p>
        </w:tc>
        <w:tc>
          <w:tcPr>
            <w:tcW w:type="dxa" w:w="8504"/>
            <w:vAlign w:val="top"/>
          </w:tcPr>
          <w:p>
            <w:pPr>
              <w:jc w:val="left"/>
            </w:pPr>
            <w:r>
              <w:rPr>
                <w:rFonts w:ascii="Arial" w:hAnsi="Arial"/>
                <w:b w:val="0"/>
                <w:i w:val="0"/>
                <w:sz w:val="18"/>
              </w:rPr>
              <w:t>The Company is registered with RBI as a [NBFC-ICC / NBFC-MFI / NBFC-HFC] vide Certificate of Registration No. [XXXX] dated [date]</w:t>
            </w:r>
          </w:p>
        </w:tc>
      </w:tr>
    </w:tbl>
    <w:p/>
    <w:p>
      <w:pPr>
        <w:spacing w:before="160" w:after="80"/>
      </w:pPr>
      <w:r>
        <w:rPr>
          <w:rFonts w:ascii="Arial" w:hAnsi="Arial"/>
          <w:b/>
          <w:i w:val="0"/>
          <w:sz w:val="22"/>
        </w:rPr>
        <w:t>ANNEXURE A — Internal Financial Controls</w:t>
      </w:r>
    </w:p>
    <w:p>
      <w:pPr>
        <w:spacing w:before="80" w:after="80"/>
        <w:jc w:val="left"/>
      </w:pPr>
      <w:r>
        <w:rPr>
          <w:rFonts w:ascii="Arial" w:hAnsi="Arial"/>
          <w:b w:val="0"/>
          <w:i w:val="0"/>
          <w:sz w:val="20"/>
        </w:rPr>
        <w:t>In our opinion, the Company has, in all material respects, adequate internal financial controls over financial reporting and such controls were operating effectively as at 31st March 20XX, based on the criteria established by the Company considering the essential components of internal control stated in the ICAI Guidance Note.</w:t>
      </w:r>
    </w:p>
    <w:p/>
    <w:p/>
    <w:p>
      <w:pPr>
        <w:spacing w:before="80" w:after="80"/>
        <w:jc w:val="left"/>
      </w:pPr>
      <w:r>
        <w:rPr>
          <w:rFonts w:ascii="Arial" w:hAnsi="Arial"/>
          <w:b/>
          <w:i w:val="0"/>
          <w:sz w:val="20"/>
        </w:rPr>
        <w:t>For Varma &amp; Varma</w:t>
      </w:r>
    </w:p>
    <w:p>
      <w:pPr>
        <w:spacing w:before="80" w:after="80"/>
        <w:jc w:val="left"/>
      </w:pPr>
      <w:r>
        <w:rPr>
          <w:rFonts w:ascii="Arial" w:hAnsi="Arial"/>
          <w:b w:val="0"/>
          <w:i w:val="0"/>
          <w:sz w:val="20"/>
        </w:rPr>
        <w:t>Chartered Accountants</w:t>
      </w:r>
    </w:p>
    <w:p>
      <w:pPr>
        <w:spacing w:before="80" w:after="80"/>
        <w:jc w:val="left"/>
      </w:pPr>
      <w:r>
        <w:rPr>
          <w:rFonts w:ascii="Arial" w:hAnsi="Arial"/>
          <w:b w:val="0"/>
          <w:i w:val="0"/>
          <w:sz w:val="20"/>
        </w:rPr>
        <w:t>Firm Registration No.: [XXXXXX]W</w:t>
      </w:r>
    </w:p>
    <w:p/>
    <w:p>
      <w:pPr>
        <w:spacing w:before="80" w:after="80"/>
        <w:jc w:val="left"/>
      </w:pPr>
      <w:r>
        <w:rPr>
          <w:rFonts w:ascii="Arial" w:hAnsi="Arial"/>
          <w:b w:val="0"/>
          <w:i w:val="0"/>
          <w:sz w:val="20"/>
        </w:rPr>
        <w:t>_______________________________</w:t>
      </w:r>
    </w:p>
    <w:p>
      <w:pPr>
        <w:spacing w:before="80" w:after="80"/>
        <w:jc w:val="left"/>
      </w:pPr>
      <w:r>
        <w:rPr>
          <w:rFonts w:ascii="Arial" w:hAnsi="Arial"/>
          <w:b w:val="0"/>
          <w:i w:val="0"/>
          <w:sz w:val="20"/>
        </w:rPr>
        <w:t>[Partner Name]</w:t>
      </w:r>
    </w:p>
    <w:p>
      <w:pPr>
        <w:spacing w:before="80" w:after="80"/>
        <w:jc w:val="left"/>
      </w:pPr>
      <w:r>
        <w:rPr>
          <w:rFonts w:ascii="Arial" w:hAnsi="Arial"/>
          <w:b w:val="0"/>
          <w:i w:val="0"/>
          <w:sz w:val="20"/>
        </w:rPr>
        <w:t>Partner — Membership No.: [XXXXXX]</w:t>
      </w:r>
    </w:p>
    <w:p>
      <w:pPr>
        <w:spacing w:before="80" w:after="80"/>
        <w:jc w:val="left"/>
      </w:pPr>
      <w:r>
        <w:rPr>
          <w:rFonts w:ascii="Arial" w:hAnsi="Arial"/>
          <w:b w:val="0"/>
          <w:i w:val="0"/>
          <w:sz w:val="20"/>
        </w:rPr>
        <w:t>UDIN: [XXXXXXXXXXXXXXXXXX]</w:t>
      </w:r>
    </w:p>
    <w:p>
      <w:pPr>
        <w:spacing w:before="80" w:after="80"/>
        <w:jc w:val="left"/>
      </w:pPr>
      <w:r>
        <w:rPr>
          <w:rFonts w:ascii="Arial" w:hAnsi="Arial"/>
          <w:b w:val="0"/>
          <w:i w:val="0"/>
          <w:sz w:val="20"/>
        </w:rPr>
        <w:t>Place: [City]</w:t>
      </w:r>
    </w:p>
    <w:p>
      <w:pPr>
        <w:spacing w:before="80" w:after="80"/>
        <w:jc w:val="left"/>
      </w:pPr>
      <w:r>
        <w:rPr>
          <w:rFonts w:ascii="Arial" w:hAnsi="Arial"/>
          <w:b w:val="0"/>
          <w:i w:val="0"/>
          <w:sz w:val="20"/>
        </w:rPr>
        <w:t>Date: [DD Month YYYY]</w:t>
      </w:r>
    </w:p>
    <w:sectPr w:rsidR="00FC693F" w:rsidRPr="0006063C" w:rsidSect="00034616">
      <w:headerReference w:type="default" r:id="rId9"/>
      <w:pgSz w:w="16838" w:h="11906"/>
      <w:pgMar w:top="113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Arial" w:hAnsi="Arial"/>
              <w:b w:val="0"/>
              <w:i w:val="0"/>
              <w:sz w:val="16"/>
            </w:rPr>
            <w:t>[Client Name] | Varma &amp; Varma</w:t>
          </w:r>
        </w:p>
      </w:tc>
      <w:tc>
        <w:tcPr>
          <w:tcW w:type="dxa" w:w="7285"/>
          <w:tcBorders>
            <w:top w:val="none"/>
            <w:left w:val="none"/>
            <w:bottom w:val="none"/>
            <w:right w:val="none"/>
          </w:tcBorders>
        </w:tcPr>
        <w:p>
          <w:pPr>
            <w:jc w:val="right"/>
          </w:pPr>
          <w:r>
            <w:rPr>
              <w:rFonts w:ascii="Arial" w:hAnsi="Arial"/>
              <w:b w:val="0"/>
              <w:i w:val="0"/>
              <w:sz w:val="16"/>
            </w:rPr>
            <w:t>Independent Auditor's Report — NBFCs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8D9C05A-E4D4-4D19-A0A7-D03BA651B66D}"/>
</file>

<file path=customXml/itemProps3.xml><?xml version="1.0" encoding="utf-8"?>
<ds:datastoreItem xmlns:ds="http://schemas.openxmlformats.org/officeDocument/2006/customXml" ds:itemID="{AE0502FA-8B9F-41E8-A067-534BA9C30B11}"/>
</file>

<file path=customXml/itemProps4.xml><?xml version="1.0" encoding="utf-8"?>
<ds:datastoreItem xmlns:ds="http://schemas.openxmlformats.org/officeDocument/2006/customXml" ds:itemID="{49EF10A8-4801-4128-856C-89BA9DEF906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