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STATUTORY AUDITOR'S REPORT TO THE BOARD OF DIRECTORS</w:t>
      </w:r>
    </w:p>
    <w:p>
      <w:pPr>
        <w:spacing w:before="80" w:after="80"/>
        <w:jc w:val="center"/>
      </w:pPr>
      <w:r>
        <w:rPr>
          <w:rFonts w:ascii="Arial" w:hAnsi="Arial"/>
          <w:b w:val="0"/>
          <w:i/>
          <w:sz w:val="18"/>
        </w:rPr>
        <w:t>In terms of RBI Master Direction — NBFC — Systemically Important Non-Deposit taking Company and Deposit taking Company (Reserve Bank) Directions, 2016 /</w:t>
        <w:br/>
        <w:t>RBI Scale Based Regulation (SBR): A Revised Regulatory Framework for NBFCs</w:t>
        <w:br/>
        <w:t>Master Direction — Reserve Bank of India (Non-Banking Financial Companies — Scale Based Regulation) Directions, 2023</w:t>
      </w:r>
    </w:p>
    <w:p>
      <w:pPr>
        <w:spacing w:before="40" w:after="40"/>
        <w:pBdr>
          <w:bottom w:val="single" w:sz="6" w:space="1" w:color="1F4E79"/>
        </w:pBdr>
      </w:pPr>
    </w:p>
    <w:p/>
    <w:p>
      <w:pPr>
        <w:spacing w:before="80" w:after="80"/>
        <w:jc w:val="left"/>
      </w:pPr>
      <w:r>
        <w:rPr>
          <w:rFonts w:ascii="Arial" w:hAnsi="Arial"/>
          <w:b w:val="0"/>
          <w:i w:val="0"/>
          <w:sz w:val="20"/>
        </w:rPr>
        <w:t>To,</w:t>
      </w:r>
    </w:p>
    <w:p>
      <w:pPr>
        <w:spacing w:before="80" w:after="80"/>
        <w:jc w:val="left"/>
      </w:pPr>
      <w:r>
        <w:rPr>
          <w:rFonts w:ascii="Arial" w:hAnsi="Arial"/>
          <w:b w:val="0"/>
          <w:i w:val="0"/>
          <w:sz w:val="20"/>
        </w:rPr>
        <w:t>The Board of Directors,</w:t>
      </w:r>
    </w:p>
    <w:p>
      <w:pPr>
        <w:spacing w:before="80" w:after="80"/>
        <w:jc w:val="left"/>
      </w:pPr>
      <w:r>
        <w:rPr>
          <w:rFonts w:ascii="Arial" w:hAnsi="Arial"/>
          <w:b w:val="0"/>
          <w:i w:val="0"/>
          <w:sz w:val="20"/>
        </w:rPr>
        <w:t>[Name of the NBFC]</w:t>
      </w:r>
    </w:p>
    <w:p>
      <w:pPr>
        <w:spacing w:before="80" w:after="80"/>
        <w:jc w:val="left"/>
      </w:pPr>
      <w:r>
        <w:rPr>
          <w:rFonts w:ascii="Arial" w:hAnsi="Arial"/>
          <w:b w:val="0"/>
          <w:i w:val="0"/>
          <w:sz w:val="20"/>
        </w:rPr>
        <w:t>[Registered Office Address]</w:t>
      </w:r>
    </w:p>
    <w:p/>
    <w:p>
      <w:pPr>
        <w:spacing w:before="80" w:after="80"/>
        <w:jc w:val="left"/>
      </w:pPr>
      <w:r>
        <w:rPr>
          <w:rFonts w:ascii="Arial" w:hAnsi="Arial"/>
          <w:b w:val="0"/>
          <w:i w:val="0"/>
          <w:sz w:val="20"/>
        </w:rPr>
        <w:t>We, [Name of Audit Firm], Chartered Accountants (FRN: [XXXXXX]W), the Statutory Auditors of [Name of the NBFC] ('the Company'), have examined the books of account and records of the Company for the financial year ended 31st March 20XX and, as required under the RBI Directions / Master Directions cited above, we report as follows:</w:t>
      </w:r>
    </w:p>
    <w:p/>
    <w:p>
      <w:pPr>
        <w:spacing w:before="160" w:after="80"/>
      </w:pPr>
      <w:r>
        <w:rPr>
          <w:rFonts w:ascii="Arial" w:hAnsi="Arial"/>
          <w:b/>
          <w:i w:val="0"/>
          <w:sz w:val="24"/>
        </w:rPr>
        <w:t>PART I — COMPLIANCE WITH RBI DIRECTIONS</w:t>
      </w:r>
    </w:p>
    <w:tbl>
      <w:tblPr>
        <w:tblStyle w:val="TableGrid"/>
        <w:tblW w:type="auto" w:w="0"/>
        <w:tblLook w:firstColumn="1" w:firstRow="1" w:lastColumn="0" w:lastRow="0" w:noHBand="0" w:noVBand="1" w:val="04A0"/>
      </w:tblPr>
      <w:tblGrid>
        <w:gridCol w:w="3642"/>
        <w:gridCol w:w="3642"/>
        <w:gridCol w:w="3642"/>
        <w:gridCol w:w="3642"/>
      </w:tblGrid>
      <w:tr>
        <w:tc>
          <w:tcPr>
            <w:tcW w:type="dxa" w:w="454"/>
            <w:vAlign w:val="top"/>
            <w:shd w:val="clear" w:color="auto" w:fill="1F4E79"/>
          </w:tcPr>
          <w:p>
            <w:pPr>
              <w:jc w:val="center"/>
            </w:pPr>
            <w:r>
              <w:rPr>
                <w:rFonts w:ascii="Arial" w:hAnsi="Arial"/>
                <w:b/>
                <w:i w:val="0"/>
                <w:color w:val="FFFFFF"/>
                <w:sz w:val="18"/>
              </w:rPr>
              <w:t>Sr.</w:t>
            </w:r>
          </w:p>
        </w:tc>
        <w:tc>
          <w:tcPr>
            <w:tcW w:type="dxa" w:w="2835"/>
            <w:vAlign w:val="top"/>
            <w:shd w:val="clear" w:color="auto" w:fill="1F4E79"/>
          </w:tcPr>
          <w:p>
            <w:pPr>
              <w:jc w:val="center"/>
            </w:pPr>
            <w:r>
              <w:rPr>
                <w:rFonts w:ascii="Arial" w:hAnsi="Arial"/>
                <w:b/>
                <w:i w:val="0"/>
                <w:color w:val="FFFFFF"/>
                <w:sz w:val="18"/>
              </w:rPr>
              <w:t>Requirement</w:t>
            </w:r>
          </w:p>
        </w:tc>
        <w:tc>
          <w:tcPr>
            <w:tcW w:type="dxa" w:w="1701"/>
            <w:vAlign w:val="top"/>
            <w:shd w:val="clear" w:color="auto" w:fill="1F4E79"/>
          </w:tcPr>
          <w:p>
            <w:pPr>
              <w:jc w:val="center"/>
            </w:pPr>
            <w:r>
              <w:rPr>
                <w:rFonts w:ascii="Arial" w:hAnsi="Arial"/>
                <w:b/>
                <w:i w:val="0"/>
                <w:color w:val="FFFFFF"/>
                <w:sz w:val="18"/>
              </w:rPr>
              <w:t>Compliance Status</w:t>
            </w:r>
          </w:p>
        </w:tc>
        <w:tc>
          <w:tcPr>
            <w:tcW w:type="dxa" w:w="6350"/>
            <w:vAlign w:val="top"/>
            <w:shd w:val="clear" w:color="auto" w:fill="1F4E79"/>
          </w:tcPr>
          <w:p>
            <w:pPr>
              <w:jc w:val="center"/>
            </w:pPr>
            <w:r>
              <w:rPr>
                <w:rFonts w:ascii="Arial" w:hAnsi="Arial"/>
                <w:b/>
                <w:i w:val="0"/>
                <w:color w:val="FFFFFF"/>
                <w:sz w:val="18"/>
              </w:rPr>
              <w:t>Observations</w:t>
            </w:r>
          </w:p>
        </w:tc>
      </w:tr>
      <w:tr>
        <w:tc>
          <w:tcPr>
            <w:tcW w:type="dxa" w:w="454"/>
            <w:vAlign w:val="top"/>
          </w:tcPr>
          <w:p>
            <w:pPr>
              <w:jc w:val="left"/>
            </w:pPr>
            <w:r>
              <w:rPr>
                <w:rFonts w:ascii="Arial" w:hAnsi="Arial"/>
                <w:b w:val="0"/>
                <w:i w:val="0"/>
                <w:sz w:val="18"/>
              </w:rPr>
              <w:t>1</w:t>
            </w:r>
          </w:p>
        </w:tc>
        <w:tc>
          <w:tcPr>
            <w:tcW w:type="dxa" w:w="2835"/>
            <w:vAlign w:val="top"/>
          </w:tcPr>
          <w:p>
            <w:pPr>
              <w:jc w:val="left"/>
            </w:pPr>
            <w:r>
              <w:rPr>
                <w:rFonts w:ascii="Arial" w:hAnsi="Arial"/>
                <w:b w:val="0"/>
                <w:i w:val="0"/>
                <w:sz w:val="18"/>
              </w:rPr>
              <w:t>Registration — COR from RBI</w:t>
              <w:br/>
              <w:t>[Sec. 45-IA, RBI Act / SBR Directions]</w:t>
            </w:r>
          </w:p>
        </w:tc>
        <w:tc>
          <w:tcPr>
            <w:tcW w:type="dxa" w:w="1701"/>
            <w:vAlign w:val="top"/>
          </w:tcPr>
          <w:p>
            <w:pPr>
              <w:jc w:val="left"/>
            </w:pPr>
            <w:r>
              <w:rPr>
                <w:rFonts w:ascii="Arial" w:hAnsi="Arial"/>
                <w:b w:val="0"/>
                <w:i w:val="0"/>
                <w:sz w:val="18"/>
              </w:rPr>
              <w:t>Compliant</w:t>
            </w:r>
          </w:p>
        </w:tc>
        <w:tc>
          <w:tcPr>
            <w:tcW w:type="dxa" w:w="6350"/>
            <w:vAlign w:val="top"/>
          </w:tcPr>
          <w:p>
            <w:pPr>
              <w:jc w:val="left"/>
            </w:pPr>
            <w:r>
              <w:rPr>
                <w:rFonts w:ascii="Arial" w:hAnsi="Arial"/>
                <w:b w:val="0"/>
                <w:i w:val="0"/>
                <w:sz w:val="18"/>
              </w:rPr>
              <w:t>COR No. [XXXX] dated [date]. Category: [NBFC-ICC BL/ML/UL / NBFC-MFI / NBFC-HFC]</w:t>
            </w:r>
          </w:p>
        </w:tc>
      </w:tr>
      <w:tr>
        <w:tc>
          <w:tcPr>
            <w:tcW w:type="dxa" w:w="454"/>
            <w:vAlign w:val="top"/>
            <w:shd w:val="clear" w:color="auto" w:fill="EBF3FB"/>
          </w:tcPr>
          <w:p>
            <w:pPr>
              <w:jc w:val="left"/>
            </w:pPr>
            <w:r>
              <w:rPr>
                <w:rFonts w:ascii="Arial" w:hAnsi="Arial"/>
                <w:b w:val="0"/>
                <w:i w:val="0"/>
                <w:sz w:val="18"/>
              </w:rPr>
              <w:t>2</w:t>
            </w:r>
          </w:p>
        </w:tc>
        <w:tc>
          <w:tcPr>
            <w:tcW w:type="dxa" w:w="2835"/>
            <w:vAlign w:val="top"/>
            <w:shd w:val="clear" w:color="auto" w:fill="EBF3FB"/>
          </w:tcPr>
          <w:p>
            <w:pPr>
              <w:jc w:val="left"/>
            </w:pPr>
            <w:r>
              <w:rPr>
                <w:rFonts w:ascii="Arial" w:hAnsi="Arial"/>
                <w:b w:val="0"/>
                <w:i w:val="0"/>
                <w:sz w:val="18"/>
              </w:rPr>
              <w:t>Net Owned Funds (NOF) — Minimum ₹10 crore</w:t>
              <w:br/>
              <w:t>[SBR Directions, Para 5]</w:t>
            </w:r>
          </w:p>
        </w:tc>
        <w:tc>
          <w:tcPr>
            <w:tcW w:type="dxa" w:w="1701"/>
            <w:vAlign w:val="top"/>
            <w:shd w:val="clear" w:color="auto" w:fill="EBF3FB"/>
          </w:tcPr>
          <w:p>
            <w:pPr>
              <w:jc w:val="left"/>
            </w:pPr>
            <w:r>
              <w:rPr>
                <w:rFonts w:ascii="Arial" w:hAnsi="Arial"/>
                <w:b w:val="0"/>
                <w:i w:val="0"/>
                <w:sz w:val="18"/>
              </w:rPr>
              <w:t>Compliant / Non-compliant</w:t>
            </w:r>
          </w:p>
        </w:tc>
        <w:tc>
          <w:tcPr>
            <w:tcW w:type="dxa" w:w="6350"/>
            <w:vAlign w:val="top"/>
            <w:shd w:val="clear" w:color="auto" w:fill="EBF3FB"/>
          </w:tcPr>
          <w:p>
            <w:pPr>
              <w:jc w:val="left"/>
            </w:pPr>
            <w:r>
              <w:rPr>
                <w:rFonts w:ascii="Arial" w:hAnsi="Arial"/>
                <w:b w:val="0"/>
                <w:i w:val="0"/>
                <w:sz w:val="18"/>
              </w:rPr>
              <w:t>NOF as at 31.03.20XX: ₹[XX] crore (minimum ₹10 crore required for Base Layer / ₹25 crore for MFI). [Compliance confirmed / Shortfall of ₹XX crore]</w:t>
            </w:r>
          </w:p>
        </w:tc>
      </w:tr>
      <w:tr>
        <w:tc>
          <w:tcPr>
            <w:tcW w:type="dxa" w:w="454"/>
            <w:vAlign w:val="top"/>
          </w:tcPr>
          <w:p>
            <w:pPr>
              <w:jc w:val="left"/>
            </w:pPr>
            <w:r>
              <w:rPr>
                <w:rFonts w:ascii="Arial" w:hAnsi="Arial"/>
                <w:b w:val="0"/>
                <w:i w:val="0"/>
                <w:sz w:val="18"/>
              </w:rPr>
              <w:t>3</w:t>
            </w:r>
          </w:p>
        </w:tc>
        <w:tc>
          <w:tcPr>
            <w:tcW w:type="dxa" w:w="2835"/>
            <w:vAlign w:val="top"/>
          </w:tcPr>
          <w:p>
            <w:pPr>
              <w:jc w:val="left"/>
            </w:pPr>
            <w:r>
              <w:rPr>
                <w:rFonts w:ascii="Arial" w:hAnsi="Arial"/>
                <w:b w:val="0"/>
                <w:i w:val="0"/>
                <w:sz w:val="18"/>
              </w:rPr>
              <w:t>CRAR — Minimum 15% (BL) / 15% (ML) / 25% (Top Layer)</w:t>
              <w:br/>
              <w:t>[SBR Directions]</w:t>
            </w:r>
          </w:p>
        </w:tc>
        <w:tc>
          <w:tcPr>
            <w:tcW w:type="dxa" w:w="1701"/>
            <w:vAlign w:val="top"/>
          </w:tcPr>
          <w:p>
            <w:pPr>
              <w:jc w:val="left"/>
            </w:pPr>
            <w:r>
              <w:rPr>
                <w:rFonts w:ascii="Arial" w:hAnsi="Arial"/>
                <w:b w:val="0"/>
                <w:i w:val="0"/>
                <w:sz w:val="18"/>
              </w:rPr>
              <w:t>Compliant / Non-compliant</w:t>
            </w:r>
          </w:p>
        </w:tc>
        <w:tc>
          <w:tcPr>
            <w:tcW w:type="dxa" w:w="6350"/>
            <w:vAlign w:val="top"/>
          </w:tcPr>
          <w:p>
            <w:pPr>
              <w:jc w:val="left"/>
            </w:pPr>
            <w:r>
              <w:rPr>
                <w:rFonts w:ascii="Arial" w:hAnsi="Arial"/>
                <w:b w:val="0"/>
                <w:i w:val="0"/>
                <w:sz w:val="18"/>
              </w:rPr>
              <w:t>CRAR as at 31.03.20XX: [XX.XX]%</w:t>
            </w:r>
          </w:p>
        </w:tc>
      </w:tr>
      <w:tr>
        <w:tc>
          <w:tcPr>
            <w:tcW w:type="dxa" w:w="454"/>
            <w:vAlign w:val="top"/>
            <w:shd w:val="clear" w:color="auto" w:fill="EBF3FB"/>
          </w:tcPr>
          <w:p>
            <w:pPr>
              <w:jc w:val="left"/>
            </w:pPr>
            <w:r>
              <w:rPr>
                <w:rFonts w:ascii="Arial" w:hAnsi="Arial"/>
                <w:b w:val="0"/>
                <w:i w:val="0"/>
                <w:sz w:val="18"/>
              </w:rPr>
              <w:t>4</w:t>
            </w:r>
          </w:p>
        </w:tc>
        <w:tc>
          <w:tcPr>
            <w:tcW w:type="dxa" w:w="2835"/>
            <w:vAlign w:val="top"/>
            <w:shd w:val="clear" w:color="auto" w:fill="EBF3FB"/>
          </w:tcPr>
          <w:p>
            <w:pPr>
              <w:jc w:val="left"/>
            </w:pPr>
            <w:r>
              <w:rPr>
                <w:rFonts w:ascii="Arial" w:hAnsi="Arial"/>
                <w:b w:val="0"/>
                <w:i w:val="0"/>
                <w:sz w:val="18"/>
              </w:rPr>
              <w:t>Liquidity Coverage Ratio (LCR)</w:t>
              <w:br/>
              <w:t>[Applicable to Upper Layer NBFCs]</w:t>
            </w:r>
          </w:p>
        </w:tc>
        <w:tc>
          <w:tcPr>
            <w:tcW w:type="dxa" w:w="1701"/>
            <w:vAlign w:val="top"/>
            <w:shd w:val="clear" w:color="auto" w:fill="EBF3FB"/>
          </w:tcPr>
          <w:p>
            <w:pPr>
              <w:jc w:val="left"/>
            </w:pPr>
            <w:r>
              <w:rPr>
                <w:rFonts w:ascii="Arial" w:hAnsi="Arial"/>
                <w:b w:val="0"/>
                <w:i w:val="0"/>
                <w:sz w:val="18"/>
              </w:rPr>
              <w:t>Compliant / N.A.</w:t>
            </w:r>
          </w:p>
        </w:tc>
        <w:tc>
          <w:tcPr>
            <w:tcW w:type="dxa" w:w="6350"/>
            <w:vAlign w:val="top"/>
            <w:shd w:val="clear" w:color="auto" w:fill="EBF3FB"/>
          </w:tcPr>
          <w:p>
            <w:pPr>
              <w:jc w:val="left"/>
            </w:pPr>
            <w:r>
              <w:rPr>
                <w:rFonts w:ascii="Arial" w:hAnsi="Arial"/>
                <w:b w:val="0"/>
                <w:i w:val="0"/>
                <w:sz w:val="18"/>
              </w:rPr>
              <w:t>[LCR maintained / Not applicable for Base/Middle Layer]</w:t>
            </w:r>
          </w:p>
        </w:tc>
      </w:tr>
      <w:tr>
        <w:tc>
          <w:tcPr>
            <w:tcW w:type="dxa" w:w="454"/>
            <w:vAlign w:val="top"/>
          </w:tcPr>
          <w:p>
            <w:pPr>
              <w:jc w:val="left"/>
            </w:pPr>
            <w:r>
              <w:rPr>
                <w:rFonts w:ascii="Arial" w:hAnsi="Arial"/>
                <w:b w:val="0"/>
                <w:i w:val="0"/>
                <w:sz w:val="18"/>
              </w:rPr>
              <w:t>5</w:t>
            </w:r>
          </w:p>
        </w:tc>
        <w:tc>
          <w:tcPr>
            <w:tcW w:type="dxa" w:w="2835"/>
            <w:vAlign w:val="top"/>
          </w:tcPr>
          <w:p>
            <w:pPr>
              <w:jc w:val="left"/>
            </w:pPr>
            <w:r>
              <w:rPr>
                <w:rFonts w:ascii="Arial" w:hAnsi="Arial"/>
                <w:b w:val="0"/>
                <w:i w:val="0"/>
                <w:sz w:val="18"/>
              </w:rPr>
              <w:t>Asset Liability Management (ALM)</w:t>
              <w:br/>
              <w:t>[SBR Directions — ALM Policy]</w:t>
            </w:r>
          </w:p>
        </w:tc>
        <w:tc>
          <w:tcPr>
            <w:tcW w:type="dxa" w:w="1701"/>
            <w:vAlign w:val="top"/>
          </w:tcPr>
          <w:p>
            <w:pPr>
              <w:jc w:val="left"/>
            </w:pPr>
            <w:r>
              <w:rPr>
                <w:rFonts w:ascii="Arial" w:hAnsi="Arial"/>
                <w:b w:val="0"/>
                <w:i w:val="0"/>
                <w:sz w:val="18"/>
              </w:rPr>
              <w:t>Compliant</w:t>
            </w:r>
          </w:p>
        </w:tc>
        <w:tc>
          <w:tcPr>
            <w:tcW w:type="dxa" w:w="6350"/>
            <w:vAlign w:val="top"/>
          </w:tcPr>
          <w:p>
            <w:pPr>
              <w:jc w:val="left"/>
            </w:pPr>
            <w:r>
              <w:rPr>
                <w:rFonts w:ascii="Arial" w:hAnsi="Arial"/>
                <w:b w:val="0"/>
                <w:i w:val="0"/>
                <w:sz w:val="18"/>
              </w:rPr>
              <w:t>ALM Policy in place and reviewed by Board. Liquidity Risk Policy approved. [Observations if any on structural liquidity gaps]</w:t>
            </w:r>
          </w:p>
        </w:tc>
      </w:tr>
      <w:tr>
        <w:tc>
          <w:tcPr>
            <w:tcW w:type="dxa" w:w="454"/>
            <w:vAlign w:val="top"/>
            <w:shd w:val="clear" w:color="auto" w:fill="EBF3FB"/>
          </w:tcPr>
          <w:p>
            <w:pPr>
              <w:jc w:val="left"/>
            </w:pPr>
            <w:r>
              <w:rPr>
                <w:rFonts w:ascii="Arial" w:hAnsi="Arial"/>
                <w:b w:val="0"/>
                <w:i w:val="0"/>
                <w:sz w:val="18"/>
              </w:rPr>
              <w:t>6</w:t>
            </w:r>
          </w:p>
        </w:tc>
        <w:tc>
          <w:tcPr>
            <w:tcW w:type="dxa" w:w="2835"/>
            <w:vAlign w:val="top"/>
            <w:shd w:val="clear" w:color="auto" w:fill="EBF3FB"/>
          </w:tcPr>
          <w:p>
            <w:pPr>
              <w:jc w:val="left"/>
            </w:pPr>
            <w:r>
              <w:rPr>
                <w:rFonts w:ascii="Arial" w:hAnsi="Arial"/>
                <w:b w:val="0"/>
                <w:i w:val="0"/>
                <w:sz w:val="18"/>
              </w:rPr>
              <w:t>Fair Practices Code (FPC)</w:t>
              <w:br/>
              <w:t>[RBI Master Direction on FPC]</w:t>
            </w:r>
          </w:p>
        </w:tc>
        <w:tc>
          <w:tcPr>
            <w:tcW w:type="dxa" w:w="1701"/>
            <w:vAlign w:val="top"/>
            <w:shd w:val="clear" w:color="auto" w:fill="EBF3FB"/>
          </w:tcPr>
          <w:p>
            <w:pPr>
              <w:jc w:val="left"/>
            </w:pPr>
            <w:r>
              <w:rPr>
                <w:rFonts w:ascii="Arial" w:hAnsi="Arial"/>
                <w:b w:val="0"/>
                <w:i w:val="0"/>
                <w:sz w:val="18"/>
              </w:rPr>
              <w:t>Compliant</w:t>
            </w:r>
          </w:p>
        </w:tc>
        <w:tc>
          <w:tcPr>
            <w:tcW w:type="dxa" w:w="6350"/>
            <w:vAlign w:val="top"/>
            <w:shd w:val="clear" w:color="auto" w:fill="EBF3FB"/>
          </w:tcPr>
          <w:p>
            <w:pPr>
              <w:jc w:val="left"/>
            </w:pPr>
            <w:r>
              <w:rPr>
                <w:rFonts w:ascii="Arial" w:hAnsi="Arial"/>
                <w:b w:val="0"/>
                <w:i w:val="0"/>
                <w:sz w:val="18"/>
              </w:rPr>
              <w:t>Board-approved FPC in place. KFS (Key Fact Statement) being issued to borrowers.</w:t>
            </w:r>
          </w:p>
        </w:tc>
      </w:tr>
      <w:tr>
        <w:tc>
          <w:tcPr>
            <w:tcW w:type="dxa" w:w="454"/>
            <w:vAlign w:val="top"/>
          </w:tcPr>
          <w:p>
            <w:pPr>
              <w:jc w:val="left"/>
            </w:pPr>
            <w:r>
              <w:rPr>
                <w:rFonts w:ascii="Arial" w:hAnsi="Arial"/>
                <w:b w:val="0"/>
                <w:i w:val="0"/>
                <w:sz w:val="18"/>
              </w:rPr>
              <w:t>7</w:t>
            </w:r>
          </w:p>
        </w:tc>
        <w:tc>
          <w:tcPr>
            <w:tcW w:type="dxa" w:w="2835"/>
            <w:vAlign w:val="top"/>
          </w:tcPr>
          <w:p>
            <w:pPr>
              <w:jc w:val="left"/>
            </w:pPr>
            <w:r>
              <w:rPr>
                <w:rFonts w:ascii="Arial" w:hAnsi="Arial"/>
                <w:b w:val="0"/>
                <w:i w:val="0"/>
                <w:sz w:val="18"/>
              </w:rPr>
              <w:t>Credit Concentration Norms</w:t>
              <w:br/>
              <w:t>[Exposure to single borrower / group]</w:t>
            </w:r>
          </w:p>
        </w:tc>
        <w:tc>
          <w:tcPr>
            <w:tcW w:type="dxa" w:w="1701"/>
            <w:vAlign w:val="top"/>
          </w:tcPr>
          <w:p>
            <w:pPr>
              <w:jc w:val="left"/>
            </w:pPr>
            <w:r>
              <w:rPr>
                <w:rFonts w:ascii="Arial" w:hAnsi="Arial"/>
                <w:b w:val="0"/>
                <w:i w:val="0"/>
                <w:sz w:val="18"/>
              </w:rPr>
              <w:t>Compliant / Non-compliant</w:t>
            </w:r>
          </w:p>
        </w:tc>
        <w:tc>
          <w:tcPr>
            <w:tcW w:type="dxa" w:w="6350"/>
            <w:vAlign w:val="top"/>
          </w:tcPr>
          <w:p>
            <w:pPr>
              <w:jc w:val="left"/>
            </w:pPr>
            <w:r>
              <w:rPr>
                <w:rFonts w:ascii="Arial" w:hAnsi="Arial"/>
                <w:b w:val="0"/>
                <w:i w:val="0"/>
                <w:sz w:val="18"/>
              </w:rPr>
              <w:t>Single borrower limit [not breached / breached — ₹XX crore against limit of XX% of owned funds]. Group borrower limit [complied / non-compliant].</w:t>
            </w:r>
          </w:p>
        </w:tc>
      </w:tr>
      <w:tr>
        <w:tc>
          <w:tcPr>
            <w:tcW w:type="dxa" w:w="454"/>
            <w:vAlign w:val="top"/>
            <w:shd w:val="clear" w:color="auto" w:fill="EBF3FB"/>
          </w:tcPr>
          <w:p>
            <w:pPr>
              <w:jc w:val="left"/>
            </w:pPr>
            <w:r>
              <w:rPr>
                <w:rFonts w:ascii="Arial" w:hAnsi="Arial"/>
                <w:b w:val="0"/>
                <w:i w:val="0"/>
                <w:sz w:val="18"/>
              </w:rPr>
              <w:t>8</w:t>
            </w:r>
          </w:p>
        </w:tc>
        <w:tc>
          <w:tcPr>
            <w:tcW w:type="dxa" w:w="2835"/>
            <w:vAlign w:val="top"/>
            <w:shd w:val="clear" w:color="auto" w:fill="EBF3FB"/>
          </w:tcPr>
          <w:p>
            <w:pPr>
              <w:jc w:val="left"/>
            </w:pPr>
            <w:r>
              <w:rPr>
                <w:rFonts w:ascii="Arial" w:hAnsi="Arial"/>
                <w:b w:val="0"/>
                <w:i w:val="0"/>
                <w:sz w:val="18"/>
              </w:rPr>
              <w:t>Loan to Value (LTV) Ratio — Gold Loans</w:t>
              <w:br/>
              <w:t>[RBI Circular — LTV 75%]</w:t>
            </w:r>
          </w:p>
        </w:tc>
        <w:tc>
          <w:tcPr>
            <w:tcW w:type="dxa" w:w="1701"/>
            <w:vAlign w:val="top"/>
            <w:shd w:val="clear" w:color="auto" w:fill="EBF3FB"/>
          </w:tcPr>
          <w:p>
            <w:pPr>
              <w:jc w:val="left"/>
            </w:pPr>
            <w:r>
              <w:rPr>
                <w:rFonts w:ascii="Arial" w:hAnsi="Arial"/>
                <w:b w:val="0"/>
                <w:i w:val="0"/>
                <w:sz w:val="18"/>
              </w:rPr>
              <w:t>Compliant / N.A.</w:t>
            </w:r>
          </w:p>
        </w:tc>
        <w:tc>
          <w:tcPr>
            <w:tcW w:type="dxa" w:w="6350"/>
            <w:vAlign w:val="top"/>
            <w:shd w:val="clear" w:color="auto" w:fill="EBF3FB"/>
          </w:tcPr>
          <w:p>
            <w:pPr>
              <w:jc w:val="left"/>
            </w:pPr>
            <w:r>
              <w:rPr>
                <w:rFonts w:ascii="Arial" w:hAnsi="Arial"/>
                <w:b w:val="0"/>
                <w:i w:val="0"/>
                <w:sz w:val="18"/>
              </w:rPr>
              <w:t>[LTV maintained at/below 75% / Not applicable]</w:t>
            </w:r>
          </w:p>
        </w:tc>
      </w:tr>
      <w:tr>
        <w:tc>
          <w:tcPr>
            <w:tcW w:type="dxa" w:w="454"/>
            <w:vAlign w:val="top"/>
          </w:tcPr>
          <w:p>
            <w:pPr>
              <w:jc w:val="left"/>
            </w:pPr>
            <w:r>
              <w:rPr>
                <w:rFonts w:ascii="Arial" w:hAnsi="Arial"/>
                <w:b w:val="0"/>
                <w:i w:val="0"/>
                <w:sz w:val="18"/>
              </w:rPr>
              <w:t>9</w:t>
            </w:r>
          </w:p>
        </w:tc>
        <w:tc>
          <w:tcPr>
            <w:tcW w:type="dxa" w:w="2835"/>
            <w:vAlign w:val="top"/>
          </w:tcPr>
          <w:p>
            <w:pPr>
              <w:jc w:val="left"/>
            </w:pPr>
            <w:r>
              <w:rPr>
                <w:rFonts w:ascii="Arial" w:hAnsi="Arial"/>
                <w:b w:val="0"/>
                <w:i w:val="0"/>
                <w:sz w:val="18"/>
              </w:rPr>
              <w:t>Income Recognition &amp; Asset Classification (IRAC Norms)</w:t>
              <w:br/>
              <w:t>[RBI Directions Para 10-12]</w:t>
            </w:r>
          </w:p>
        </w:tc>
        <w:tc>
          <w:tcPr>
            <w:tcW w:type="dxa" w:w="1701"/>
            <w:vAlign w:val="top"/>
          </w:tcPr>
          <w:p>
            <w:pPr>
              <w:jc w:val="left"/>
            </w:pPr>
            <w:r>
              <w:rPr>
                <w:rFonts w:ascii="Arial" w:hAnsi="Arial"/>
                <w:b w:val="0"/>
                <w:i w:val="0"/>
                <w:sz w:val="18"/>
              </w:rPr>
              <w:t>Compliant</w:t>
            </w:r>
          </w:p>
        </w:tc>
        <w:tc>
          <w:tcPr>
            <w:tcW w:type="dxa" w:w="6350"/>
            <w:vAlign w:val="top"/>
          </w:tcPr>
          <w:p>
            <w:pPr>
              <w:jc w:val="left"/>
            </w:pPr>
            <w:r>
              <w:rPr>
                <w:rFonts w:ascii="Arial" w:hAnsi="Arial"/>
                <w:b w:val="0"/>
                <w:i w:val="0"/>
                <w:sz w:val="18"/>
              </w:rPr>
              <w:t>NPA classification at 90 DPD for all categories. Provision coverage verified.</w:t>
            </w:r>
          </w:p>
        </w:tc>
      </w:tr>
      <w:tr>
        <w:tc>
          <w:tcPr>
            <w:tcW w:type="dxa" w:w="454"/>
            <w:vAlign w:val="top"/>
            <w:shd w:val="clear" w:color="auto" w:fill="EBF3FB"/>
          </w:tcPr>
          <w:p>
            <w:pPr>
              <w:jc w:val="left"/>
            </w:pPr>
            <w:r>
              <w:rPr>
                <w:rFonts w:ascii="Arial" w:hAnsi="Arial"/>
                <w:b w:val="0"/>
                <w:i w:val="0"/>
                <w:sz w:val="18"/>
              </w:rPr>
              <w:t>10</w:t>
            </w:r>
          </w:p>
        </w:tc>
        <w:tc>
          <w:tcPr>
            <w:tcW w:type="dxa" w:w="2835"/>
            <w:vAlign w:val="top"/>
            <w:shd w:val="clear" w:color="auto" w:fill="EBF3FB"/>
          </w:tcPr>
          <w:p>
            <w:pPr>
              <w:jc w:val="left"/>
            </w:pPr>
            <w:r>
              <w:rPr>
                <w:rFonts w:ascii="Arial" w:hAnsi="Arial"/>
                <w:b w:val="0"/>
                <w:i w:val="0"/>
                <w:sz w:val="18"/>
              </w:rPr>
              <w:t>Regulations on Outsourcing of Financial Services</w:t>
            </w:r>
          </w:p>
        </w:tc>
        <w:tc>
          <w:tcPr>
            <w:tcW w:type="dxa" w:w="1701"/>
            <w:vAlign w:val="top"/>
            <w:shd w:val="clear" w:color="auto" w:fill="EBF3FB"/>
          </w:tcPr>
          <w:p>
            <w:pPr>
              <w:jc w:val="left"/>
            </w:pPr>
            <w:r>
              <w:rPr>
                <w:rFonts w:ascii="Arial" w:hAnsi="Arial"/>
                <w:b w:val="0"/>
                <w:i w:val="0"/>
                <w:sz w:val="18"/>
              </w:rPr>
              <w:t>Compliant</w:t>
            </w:r>
          </w:p>
        </w:tc>
        <w:tc>
          <w:tcPr>
            <w:tcW w:type="dxa" w:w="6350"/>
            <w:vAlign w:val="top"/>
            <w:shd w:val="clear" w:color="auto" w:fill="EBF3FB"/>
          </w:tcPr>
          <w:p>
            <w:pPr>
              <w:jc w:val="left"/>
            </w:pPr>
            <w:r>
              <w:rPr>
                <w:rFonts w:ascii="Arial" w:hAnsi="Arial"/>
                <w:b w:val="0"/>
                <w:i w:val="0"/>
                <w:sz w:val="18"/>
              </w:rPr>
              <w:t>Outsourcing arrangements (DSA, DMA, collection agents) reviewed. Board-approved outsourcing policy in place.</w:t>
            </w:r>
          </w:p>
        </w:tc>
      </w:tr>
      <w:tr>
        <w:tc>
          <w:tcPr>
            <w:tcW w:type="dxa" w:w="454"/>
            <w:vAlign w:val="top"/>
          </w:tcPr>
          <w:p>
            <w:pPr>
              <w:jc w:val="left"/>
            </w:pPr>
            <w:r>
              <w:rPr>
                <w:rFonts w:ascii="Arial" w:hAnsi="Arial"/>
                <w:b w:val="0"/>
                <w:i w:val="0"/>
                <w:sz w:val="18"/>
              </w:rPr>
              <w:t>11</w:t>
            </w:r>
          </w:p>
        </w:tc>
        <w:tc>
          <w:tcPr>
            <w:tcW w:type="dxa" w:w="2835"/>
            <w:vAlign w:val="top"/>
          </w:tcPr>
          <w:p>
            <w:pPr>
              <w:jc w:val="left"/>
            </w:pPr>
            <w:r>
              <w:rPr>
                <w:rFonts w:ascii="Arial" w:hAnsi="Arial"/>
                <w:b w:val="0"/>
                <w:i w:val="0"/>
                <w:sz w:val="18"/>
              </w:rPr>
              <w:t>Compliance with Know Your Customer (KYC) / AML Guidelines</w:t>
            </w:r>
          </w:p>
        </w:tc>
        <w:tc>
          <w:tcPr>
            <w:tcW w:type="dxa" w:w="1701"/>
            <w:vAlign w:val="top"/>
          </w:tcPr>
          <w:p>
            <w:pPr>
              <w:jc w:val="left"/>
            </w:pPr>
            <w:r>
              <w:rPr>
                <w:rFonts w:ascii="Arial" w:hAnsi="Arial"/>
                <w:b w:val="0"/>
                <w:i w:val="0"/>
                <w:sz w:val="18"/>
              </w:rPr>
              <w:t>Compliant</w:t>
            </w:r>
          </w:p>
        </w:tc>
        <w:tc>
          <w:tcPr>
            <w:tcW w:type="dxa" w:w="6350"/>
            <w:vAlign w:val="top"/>
          </w:tcPr>
          <w:p>
            <w:pPr>
              <w:jc w:val="left"/>
            </w:pPr>
            <w:r>
              <w:rPr>
                <w:rFonts w:ascii="Arial" w:hAnsi="Arial"/>
                <w:b w:val="0"/>
                <w:i w:val="0"/>
                <w:sz w:val="18"/>
              </w:rPr>
              <w:t>KYC / AML Policy in place. No suspicious transaction reports (STRs) suppressed.</w:t>
            </w:r>
          </w:p>
        </w:tc>
      </w:tr>
      <w:tr>
        <w:tc>
          <w:tcPr>
            <w:tcW w:type="dxa" w:w="454"/>
            <w:vAlign w:val="top"/>
            <w:shd w:val="clear" w:color="auto" w:fill="EBF3FB"/>
          </w:tcPr>
          <w:p>
            <w:pPr>
              <w:jc w:val="left"/>
            </w:pPr>
            <w:r>
              <w:rPr>
                <w:rFonts w:ascii="Arial" w:hAnsi="Arial"/>
                <w:b w:val="0"/>
                <w:i w:val="0"/>
                <w:sz w:val="18"/>
              </w:rPr>
              <w:t>12</w:t>
            </w:r>
          </w:p>
        </w:tc>
        <w:tc>
          <w:tcPr>
            <w:tcW w:type="dxa" w:w="2835"/>
            <w:vAlign w:val="top"/>
            <w:shd w:val="clear" w:color="auto" w:fill="EBF3FB"/>
          </w:tcPr>
          <w:p>
            <w:pPr>
              <w:jc w:val="left"/>
            </w:pPr>
            <w:r>
              <w:rPr>
                <w:rFonts w:ascii="Arial" w:hAnsi="Arial"/>
                <w:b w:val="0"/>
                <w:i w:val="0"/>
                <w:sz w:val="18"/>
              </w:rPr>
              <w:t>Returns Filing — NBS-1/7/9, ALM Returns, Auditor Certificate (NBS-6)</w:t>
            </w:r>
          </w:p>
        </w:tc>
        <w:tc>
          <w:tcPr>
            <w:tcW w:type="dxa" w:w="1701"/>
            <w:vAlign w:val="top"/>
            <w:shd w:val="clear" w:color="auto" w:fill="EBF3FB"/>
          </w:tcPr>
          <w:p>
            <w:pPr>
              <w:jc w:val="left"/>
            </w:pPr>
            <w:r>
              <w:rPr>
                <w:rFonts w:ascii="Arial" w:hAnsi="Arial"/>
                <w:b w:val="0"/>
                <w:i w:val="0"/>
                <w:sz w:val="18"/>
              </w:rPr>
              <w:t>Compliant</w:t>
            </w:r>
          </w:p>
        </w:tc>
        <w:tc>
          <w:tcPr>
            <w:tcW w:type="dxa" w:w="6350"/>
            <w:vAlign w:val="top"/>
            <w:shd w:val="clear" w:color="auto" w:fill="EBF3FB"/>
          </w:tcPr>
          <w:p>
            <w:pPr>
              <w:jc w:val="left"/>
            </w:pPr>
            <w:r>
              <w:rPr>
                <w:rFonts w:ascii="Arial" w:hAnsi="Arial"/>
                <w:b w:val="0"/>
                <w:i w:val="0"/>
                <w:sz w:val="18"/>
              </w:rPr>
              <w:t>Returns filed within prescribed timelines. NBS-6 (Statutory Auditor's Certificate) filed separately.</w:t>
            </w:r>
          </w:p>
        </w:tc>
      </w:tr>
    </w:tbl>
    <w:p/>
    <w:p>
      <w:pPr>
        <w:spacing w:before="160" w:after="80"/>
      </w:pPr>
      <w:r>
        <w:rPr>
          <w:rFonts w:ascii="Arial" w:hAnsi="Arial"/>
          <w:b/>
          <w:i w:val="0"/>
          <w:sz w:val="24"/>
        </w:rPr>
        <w:t>PART II — DEPOSIT ACCEPTANCE (for NBFCs-D only)</w:t>
      </w:r>
    </w:p>
    <w:p>
      <w:pPr>
        <w:spacing w:before="80" w:after="80"/>
        <w:jc w:val="left"/>
      </w:pPr>
      <w:r>
        <w:rPr>
          <w:rFonts w:ascii="Arial" w:hAnsi="Arial"/>
          <w:b w:val="0"/>
          <w:i w:val="0"/>
          <w:sz w:val="20"/>
        </w:rPr>
        <w:t>[Cross through and mark N.A. if the NBFC is non-deposit taking (NBFC-ND).]</w:t>
        <w:br/>
        <w:t>[For NBFCs-D only:]</w:t>
      </w:r>
    </w:p>
    <w:tbl>
      <w:tblPr>
        <w:tblStyle w:val="TableGrid"/>
        <w:tblW w:type="auto" w:w="0"/>
        <w:tblLook w:firstColumn="1" w:firstRow="1" w:lastColumn="0" w:lastRow="0" w:noHBand="0" w:noVBand="1" w:val="04A0"/>
      </w:tblPr>
      <w:tblGrid>
        <w:gridCol w:w="3642"/>
        <w:gridCol w:w="3642"/>
        <w:gridCol w:w="3642"/>
        <w:gridCol w:w="3642"/>
      </w:tblGrid>
      <w:tr>
        <w:tc>
          <w:tcPr>
            <w:tcW w:type="dxa" w:w="454"/>
            <w:vAlign w:val="top"/>
            <w:shd w:val="clear" w:color="auto" w:fill="1F4E79"/>
          </w:tcPr>
          <w:p>
            <w:pPr>
              <w:jc w:val="center"/>
            </w:pPr>
            <w:r>
              <w:rPr>
                <w:rFonts w:ascii="Arial" w:hAnsi="Arial"/>
                <w:b/>
                <w:i w:val="0"/>
                <w:color w:val="FFFFFF"/>
                <w:sz w:val="18"/>
              </w:rPr>
              <w:t>Sr.</w:t>
            </w:r>
          </w:p>
        </w:tc>
        <w:tc>
          <w:tcPr>
            <w:tcW w:type="dxa" w:w="3402"/>
            <w:vAlign w:val="top"/>
            <w:shd w:val="clear" w:color="auto" w:fill="1F4E79"/>
          </w:tcPr>
          <w:p>
            <w:pPr>
              <w:jc w:val="center"/>
            </w:pPr>
            <w:r>
              <w:rPr>
                <w:rFonts w:ascii="Arial" w:hAnsi="Arial"/>
                <w:b/>
                <w:i w:val="0"/>
                <w:color w:val="FFFFFF"/>
                <w:sz w:val="18"/>
              </w:rPr>
              <w:t>Requirement</w:t>
            </w:r>
          </w:p>
        </w:tc>
        <w:tc>
          <w:tcPr>
            <w:tcW w:type="dxa" w:w="1701"/>
            <w:vAlign w:val="top"/>
            <w:shd w:val="clear" w:color="auto" w:fill="1F4E79"/>
          </w:tcPr>
          <w:p>
            <w:pPr>
              <w:jc w:val="center"/>
            </w:pPr>
            <w:r>
              <w:rPr>
                <w:rFonts w:ascii="Arial" w:hAnsi="Arial"/>
                <w:b/>
                <w:i w:val="0"/>
                <w:color w:val="FFFFFF"/>
                <w:sz w:val="18"/>
              </w:rPr>
              <w:t>Status</w:t>
            </w:r>
          </w:p>
        </w:tc>
        <w:tc>
          <w:tcPr>
            <w:tcW w:type="dxa" w:w="5783"/>
            <w:vAlign w:val="top"/>
            <w:shd w:val="clear" w:color="auto" w:fill="1F4E79"/>
          </w:tcPr>
          <w:p>
            <w:pPr>
              <w:jc w:val="center"/>
            </w:pPr>
            <w:r>
              <w:rPr>
                <w:rFonts w:ascii="Arial" w:hAnsi="Arial"/>
                <w:b/>
                <w:i w:val="0"/>
                <w:color w:val="FFFFFF"/>
                <w:sz w:val="18"/>
              </w:rPr>
              <w:t>Observations</w:t>
            </w:r>
          </w:p>
        </w:tc>
      </w:tr>
      <w:tr>
        <w:tc>
          <w:tcPr>
            <w:tcW w:type="dxa" w:w="454"/>
            <w:vAlign w:val="top"/>
          </w:tcPr>
          <w:p>
            <w:pPr>
              <w:jc w:val="left"/>
            </w:pPr>
            <w:r>
              <w:rPr>
                <w:rFonts w:ascii="Arial" w:hAnsi="Arial"/>
                <w:b w:val="0"/>
                <w:i w:val="0"/>
                <w:sz w:val="18"/>
              </w:rPr>
              <w:t>1</w:t>
            </w:r>
          </w:p>
        </w:tc>
        <w:tc>
          <w:tcPr>
            <w:tcW w:type="dxa" w:w="3402"/>
            <w:vAlign w:val="top"/>
          </w:tcPr>
          <w:p>
            <w:pPr>
              <w:jc w:val="left"/>
            </w:pPr>
            <w:r>
              <w:rPr>
                <w:rFonts w:ascii="Arial" w:hAnsi="Arial"/>
                <w:b w:val="0"/>
                <w:i w:val="0"/>
                <w:sz w:val="18"/>
              </w:rPr>
              <w:t>Deposits accepted only from public — not from NBFCs</w:t>
            </w:r>
          </w:p>
        </w:tc>
        <w:tc>
          <w:tcPr>
            <w:tcW w:type="dxa" w:w="1701"/>
            <w:vAlign w:val="top"/>
          </w:tcPr>
          <w:p>
            <w:pPr>
              <w:jc w:val="left"/>
            </w:pPr>
            <w:r>
              <w:rPr>
                <w:rFonts w:ascii="Arial" w:hAnsi="Arial"/>
                <w:b w:val="0"/>
                <w:i w:val="0"/>
                <w:sz w:val="18"/>
              </w:rPr>
              <w:t>Compliant / N.A.</w:t>
            </w:r>
          </w:p>
        </w:tc>
        <w:tc>
          <w:tcPr>
            <w:tcW w:type="dxa" w:w="5783"/>
            <w:vAlign w:val="top"/>
          </w:tcPr>
          <w:p>
            <w:pPr>
              <w:jc w:val="left"/>
            </w:pPr>
            <w:r>
              <w:rPr>
                <w:rFonts w:ascii="Arial" w:hAnsi="Arial"/>
                <w:b w:val="0"/>
                <w:i w:val="0"/>
                <w:sz w:val="18"/>
              </w:rPr>
            </w:r>
          </w:p>
        </w:tc>
      </w:tr>
      <w:tr>
        <w:tc>
          <w:tcPr>
            <w:tcW w:type="dxa" w:w="454"/>
            <w:vAlign w:val="top"/>
            <w:shd w:val="clear" w:color="auto" w:fill="EBF3FB"/>
          </w:tcPr>
          <w:p>
            <w:pPr>
              <w:jc w:val="left"/>
            </w:pPr>
            <w:r>
              <w:rPr>
                <w:rFonts w:ascii="Arial" w:hAnsi="Arial"/>
                <w:b w:val="0"/>
                <w:i w:val="0"/>
                <w:sz w:val="18"/>
              </w:rPr>
              <w:t>2</w:t>
            </w:r>
          </w:p>
        </w:tc>
        <w:tc>
          <w:tcPr>
            <w:tcW w:type="dxa" w:w="3402"/>
            <w:vAlign w:val="top"/>
            <w:shd w:val="clear" w:color="auto" w:fill="EBF3FB"/>
          </w:tcPr>
          <w:p>
            <w:pPr>
              <w:jc w:val="left"/>
            </w:pPr>
            <w:r>
              <w:rPr>
                <w:rFonts w:ascii="Arial" w:hAnsi="Arial"/>
                <w:b w:val="0"/>
                <w:i w:val="0"/>
                <w:sz w:val="18"/>
              </w:rPr>
              <w:t>Ceiling on deposits — as per RBI directions (1.5x of NOF)</w:t>
            </w:r>
          </w:p>
        </w:tc>
        <w:tc>
          <w:tcPr>
            <w:tcW w:type="dxa" w:w="1701"/>
            <w:vAlign w:val="top"/>
            <w:shd w:val="clear" w:color="auto" w:fill="EBF3FB"/>
          </w:tcPr>
          <w:p>
            <w:pPr>
              <w:jc w:val="left"/>
            </w:pPr>
            <w:r>
              <w:rPr>
                <w:rFonts w:ascii="Arial" w:hAnsi="Arial"/>
                <w:b w:val="0"/>
                <w:i w:val="0"/>
                <w:sz w:val="18"/>
              </w:rPr>
              <w:t>Compliant / N.A.</w:t>
            </w:r>
          </w:p>
        </w:tc>
        <w:tc>
          <w:tcPr>
            <w:tcW w:type="dxa" w:w="5783"/>
            <w:vAlign w:val="top"/>
            <w:shd w:val="clear" w:color="auto" w:fill="EBF3FB"/>
          </w:tcPr>
          <w:p>
            <w:pPr>
              <w:jc w:val="left"/>
            </w:pPr>
            <w:r>
              <w:rPr>
                <w:rFonts w:ascii="Arial" w:hAnsi="Arial"/>
                <w:b w:val="0"/>
                <w:i w:val="0"/>
                <w:sz w:val="18"/>
              </w:rPr>
              <w:t>Total public deposits: ₹[XX] crore. Ceiling (1.5× NOF of ₹[XX] crore): ₹[XX] crore.</w:t>
            </w:r>
          </w:p>
        </w:tc>
      </w:tr>
      <w:tr>
        <w:tc>
          <w:tcPr>
            <w:tcW w:type="dxa" w:w="454"/>
            <w:vAlign w:val="top"/>
          </w:tcPr>
          <w:p>
            <w:pPr>
              <w:jc w:val="left"/>
            </w:pPr>
            <w:r>
              <w:rPr>
                <w:rFonts w:ascii="Arial" w:hAnsi="Arial"/>
                <w:b w:val="0"/>
                <w:i w:val="0"/>
                <w:sz w:val="18"/>
              </w:rPr>
              <w:t>3</w:t>
            </w:r>
          </w:p>
        </w:tc>
        <w:tc>
          <w:tcPr>
            <w:tcW w:type="dxa" w:w="3402"/>
            <w:vAlign w:val="top"/>
          </w:tcPr>
          <w:p>
            <w:pPr>
              <w:jc w:val="left"/>
            </w:pPr>
            <w:r>
              <w:rPr>
                <w:rFonts w:ascii="Arial" w:hAnsi="Arial"/>
                <w:b w:val="0"/>
                <w:i w:val="0"/>
                <w:sz w:val="18"/>
              </w:rPr>
              <w:t>Interest rates — not exceeding ceiling prescribed by RBI</w:t>
            </w:r>
          </w:p>
        </w:tc>
        <w:tc>
          <w:tcPr>
            <w:tcW w:type="dxa" w:w="1701"/>
            <w:vAlign w:val="top"/>
          </w:tcPr>
          <w:p>
            <w:pPr>
              <w:jc w:val="left"/>
            </w:pPr>
            <w:r>
              <w:rPr>
                <w:rFonts w:ascii="Arial" w:hAnsi="Arial"/>
                <w:b w:val="0"/>
                <w:i w:val="0"/>
                <w:sz w:val="18"/>
              </w:rPr>
              <w:t>Compliant / N.A.</w:t>
            </w:r>
          </w:p>
        </w:tc>
        <w:tc>
          <w:tcPr>
            <w:tcW w:type="dxa" w:w="5783"/>
            <w:vAlign w:val="top"/>
          </w:tcPr>
          <w:p>
            <w:pPr>
              <w:jc w:val="left"/>
            </w:pPr>
            <w:r>
              <w:rPr>
                <w:rFonts w:ascii="Arial" w:hAnsi="Arial"/>
                <w:b w:val="0"/>
                <w:i w:val="0"/>
                <w:sz w:val="18"/>
              </w:rPr>
              <w:t>Maximum rate offered: [X.XX]% p.a.</w:t>
            </w:r>
          </w:p>
        </w:tc>
      </w:tr>
      <w:tr>
        <w:tc>
          <w:tcPr>
            <w:tcW w:type="dxa" w:w="454"/>
            <w:vAlign w:val="top"/>
            <w:shd w:val="clear" w:color="auto" w:fill="EBF3FB"/>
          </w:tcPr>
          <w:p>
            <w:pPr>
              <w:jc w:val="left"/>
            </w:pPr>
            <w:r>
              <w:rPr>
                <w:rFonts w:ascii="Arial" w:hAnsi="Arial"/>
                <w:b w:val="0"/>
                <w:i w:val="0"/>
                <w:sz w:val="18"/>
              </w:rPr>
              <w:t>4</w:t>
            </w:r>
          </w:p>
        </w:tc>
        <w:tc>
          <w:tcPr>
            <w:tcW w:type="dxa" w:w="3402"/>
            <w:vAlign w:val="top"/>
            <w:shd w:val="clear" w:color="auto" w:fill="EBF3FB"/>
          </w:tcPr>
          <w:p>
            <w:pPr>
              <w:jc w:val="left"/>
            </w:pPr>
            <w:r>
              <w:rPr>
                <w:rFonts w:ascii="Arial" w:hAnsi="Arial"/>
                <w:b w:val="0"/>
                <w:i w:val="0"/>
                <w:sz w:val="18"/>
              </w:rPr>
              <w:t>Liquid assets maintenance — 15% of outstanding deposits in approved securities</w:t>
            </w:r>
          </w:p>
        </w:tc>
        <w:tc>
          <w:tcPr>
            <w:tcW w:type="dxa" w:w="1701"/>
            <w:vAlign w:val="top"/>
            <w:shd w:val="clear" w:color="auto" w:fill="EBF3FB"/>
          </w:tcPr>
          <w:p>
            <w:pPr>
              <w:jc w:val="left"/>
            </w:pPr>
            <w:r>
              <w:rPr>
                <w:rFonts w:ascii="Arial" w:hAnsi="Arial"/>
                <w:b w:val="0"/>
                <w:i w:val="0"/>
                <w:sz w:val="18"/>
              </w:rPr>
              <w:t>Compliant / N.A.</w:t>
            </w:r>
          </w:p>
        </w:tc>
        <w:tc>
          <w:tcPr>
            <w:tcW w:type="dxa" w:w="5783"/>
            <w:vAlign w:val="top"/>
            <w:shd w:val="clear" w:color="auto" w:fill="EBF3FB"/>
          </w:tcPr>
          <w:p>
            <w:pPr>
              <w:jc w:val="left"/>
            </w:pPr>
            <w:r>
              <w:rPr>
                <w:rFonts w:ascii="Arial" w:hAnsi="Arial"/>
                <w:b w:val="0"/>
                <w:i w:val="0"/>
                <w:sz w:val="18"/>
              </w:rPr>
            </w:r>
          </w:p>
        </w:tc>
      </w:tr>
      <w:tr>
        <w:tc>
          <w:tcPr>
            <w:tcW w:type="dxa" w:w="454"/>
            <w:vAlign w:val="top"/>
          </w:tcPr>
          <w:p>
            <w:pPr>
              <w:jc w:val="left"/>
            </w:pPr>
            <w:r>
              <w:rPr>
                <w:rFonts w:ascii="Arial" w:hAnsi="Arial"/>
                <w:b w:val="0"/>
                <w:i w:val="0"/>
                <w:sz w:val="18"/>
              </w:rPr>
              <w:t>5</w:t>
            </w:r>
          </w:p>
        </w:tc>
        <w:tc>
          <w:tcPr>
            <w:tcW w:type="dxa" w:w="3402"/>
            <w:vAlign w:val="top"/>
          </w:tcPr>
          <w:p>
            <w:pPr>
              <w:jc w:val="left"/>
            </w:pPr>
            <w:r>
              <w:rPr>
                <w:rFonts w:ascii="Arial" w:hAnsi="Arial"/>
                <w:b w:val="0"/>
                <w:i w:val="0"/>
                <w:sz w:val="18"/>
              </w:rPr>
              <w:t>DICGC registration and premium payment</w:t>
            </w:r>
          </w:p>
        </w:tc>
        <w:tc>
          <w:tcPr>
            <w:tcW w:type="dxa" w:w="1701"/>
            <w:vAlign w:val="top"/>
          </w:tcPr>
          <w:p>
            <w:pPr>
              <w:jc w:val="left"/>
            </w:pPr>
            <w:r>
              <w:rPr>
                <w:rFonts w:ascii="Arial" w:hAnsi="Arial"/>
                <w:b w:val="0"/>
                <w:i w:val="0"/>
                <w:sz w:val="18"/>
              </w:rPr>
              <w:t>Compliant / N.A.</w:t>
            </w:r>
          </w:p>
        </w:tc>
        <w:tc>
          <w:tcPr>
            <w:tcW w:type="dxa" w:w="5783"/>
            <w:vAlign w:val="top"/>
          </w:tcPr>
          <w:p>
            <w:pPr>
              <w:jc w:val="left"/>
            </w:pPr>
            <w:r>
              <w:rPr>
                <w:rFonts w:ascii="Arial" w:hAnsi="Arial"/>
                <w:b w:val="0"/>
                <w:i w:val="0"/>
                <w:sz w:val="18"/>
              </w:rPr>
            </w:r>
          </w:p>
        </w:tc>
      </w:tr>
    </w:tbl>
    <w:p/>
    <w:p>
      <w:pPr>
        <w:spacing w:before="160" w:after="80"/>
      </w:pPr>
      <w:r>
        <w:rPr>
          <w:rFonts w:ascii="Arial" w:hAnsi="Arial"/>
          <w:b/>
          <w:i w:val="0"/>
          <w:sz w:val="24"/>
        </w:rPr>
        <w:t>PART III — OTHER MATTERS</w:t>
      </w:r>
    </w:p>
    <w:p>
      <w:pPr>
        <w:spacing w:before="80" w:after="80"/>
        <w:jc w:val="left"/>
      </w:pPr>
      <w:r>
        <w:rPr>
          <w:rFonts w:ascii="Arial" w:hAnsi="Arial"/>
          <w:b w:val="0"/>
          <w:i w:val="0"/>
          <w:sz w:val="20"/>
        </w:rPr>
        <w:t>a) Prudential Norms: The Company has complied with the prudential norms for income recognition, asset classification, and provisioning as prescribed by RBI.</w:t>
      </w:r>
    </w:p>
    <w:p>
      <w:pPr>
        <w:spacing w:before="80" w:after="80"/>
        <w:jc w:val="left"/>
      </w:pPr>
      <w:r>
        <w:rPr>
          <w:rFonts w:ascii="Arial" w:hAnsi="Arial"/>
          <w:b w:val="0"/>
          <w:i w:val="0"/>
          <w:sz w:val="20"/>
        </w:rPr>
        <w:t>b) Corporate Governance: The Company has complied with the corporate governance requirements prescribed for [BL/ML/UL] NBFCs, including constitution of audit committee, nomination and remuneration committee, and other mandatory committees.</w:t>
      </w:r>
    </w:p>
    <w:p>
      <w:pPr>
        <w:spacing w:before="80" w:after="80"/>
        <w:jc w:val="left"/>
      </w:pPr>
      <w:r>
        <w:rPr>
          <w:rFonts w:ascii="Arial" w:hAnsi="Arial"/>
          <w:b w:val="0"/>
          <w:i w:val="0"/>
          <w:sz w:val="20"/>
        </w:rPr>
        <w:t>c) Fit and Proper Criteria: Directors and key managerial personnel meet the fit and proper criteria prescribed by RBI.</w:t>
      </w:r>
    </w:p>
    <w:p>
      <w:pPr>
        <w:spacing w:before="80" w:after="80"/>
        <w:jc w:val="left"/>
      </w:pPr>
      <w:r>
        <w:rPr>
          <w:rFonts w:ascii="Arial" w:hAnsi="Arial"/>
          <w:b w:val="0"/>
          <w:i w:val="0"/>
          <w:sz w:val="20"/>
        </w:rPr>
        <w:t>d) Whistleblower / Vigil Mechanism: In place and functional.</w:t>
      </w:r>
    </w:p>
    <w:p>
      <w:pPr>
        <w:spacing w:before="80" w:after="80"/>
        <w:jc w:val="left"/>
      </w:pPr>
      <w:r>
        <w:rPr>
          <w:rFonts w:ascii="Arial" w:hAnsi="Arial"/>
          <w:b w:val="0"/>
          <w:i w:val="0"/>
          <w:sz w:val="20"/>
        </w:rPr>
        <w:t>e) Fraud Reporting: All frauds above ₹1 lakh have been reported to RBI within the prescribed time of 3 weeks from detection.</w:t>
      </w:r>
    </w:p>
    <w:p>
      <w:pPr>
        <w:spacing w:before="80" w:after="80"/>
        <w:jc w:val="left"/>
      </w:pPr>
      <w:r>
        <w:rPr>
          <w:rFonts w:ascii="Arial" w:hAnsi="Arial"/>
          <w:b w:val="0"/>
          <w:i w:val="0"/>
          <w:sz w:val="20"/>
        </w:rPr>
        <w:t>[Any other specific observations or qualifications:]</w:t>
      </w:r>
    </w:p>
    <w:p>
      <w:pPr>
        <w:spacing w:before="80" w:after="80"/>
        <w:jc w:val="left"/>
      </w:pPr>
      <w:r>
        <w:rPr>
          <w:rFonts w:ascii="Arial" w:hAnsi="Arial"/>
          <w:b w:val="0"/>
          <w:i w:val="0"/>
          <w:sz w:val="20"/>
        </w:rPr>
        <w:t>[NIL / Details as noted below]</w:t>
      </w:r>
    </w:p>
    <w:p/>
    <w:p>
      <w:pPr>
        <w:spacing w:before="80" w:after="80"/>
        <w:jc w:val="left"/>
      </w:pPr>
      <w:r>
        <w:rPr>
          <w:rFonts w:ascii="Arial" w:hAnsi="Arial"/>
          <w:b w:val="0"/>
          <w:i/>
          <w:sz w:val="18"/>
        </w:rPr>
        <w:t>This report is prepared based on the books of account and records maintained by the Company and the information and explanations provided to us. It is intended solely for submission to the Board of Directors and the Reserve Bank of India.</w:t>
      </w:r>
    </w:p>
    <w:p/>
    <w:p/>
    <w:p>
      <w:pPr>
        <w:spacing w:before="80" w:after="80"/>
        <w:jc w:val="left"/>
      </w:pPr>
      <w:r>
        <w:rPr>
          <w:rFonts w:ascii="Arial" w:hAnsi="Arial"/>
          <w:b/>
          <w:i w:val="0"/>
          <w:sz w:val="20"/>
        </w:rPr>
        <w:t>For Varma &amp; Varma</w:t>
      </w:r>
    </w:p>
    <w:p>
      <w:pPr>
        <w:spacing w:before="80" w:after="80"/>
        <w:jc w:val="left"/>
      </w:pPr>
      <w:r>
        <w:rPr>
          <w:rFonts w:ascii="Arial" w:hAnsi="Arial"/>
          <w:b w:val="0"/>
          <w:i w:val="0"/>
          <w:sz w:val="20"/>
        </w:rPr>
        <w:t>Chartered Accountants</w:t>
      </w:r>
    </w:p>
    <w:p>
      <w:pPr>
        <w:spacing w:before="80" w:after="80"/>
        <w:jc w:val="left"/>
      </w:pPr>
      <w:r>
        <w:rPr>
          <w:rFonts w:ascii="Arial" w:hAnsi="Arial"/>
          <w:b w:val="0"/>
          <w:i w:val="0"/>
          <w:sz w:val="20"/>
        </w:rPr>
        <w:t>Firm Registration No.: [XXXXXX]W</w:t>
      </w:r>
    </w:p>
    <w:p/>
    <w:p>
      <w:pPr>
        <w:spacing w:before="80" w:after="80"/>
        <w:jc w:val="left"/>
      </w:pPr>
      <w:r>
        <w:rPr>
          <w:rFonts w:ascii="Arial" w:hAnsi="Arial"/>
          <w:b w:val="0"/>
          <w:i w:val="0"/>
          <w:sz w:val="20"/>
        </w:rPr>
        <w:t>_______________________________</w:t>
      </w:r>
    </w:p>
    <w:p>
      <w:pPr>
        <w:spacing w:before="80" w:after="80"/>
        <w:jc w:val="left"/>
      </w:pPr>
      <w:r>
        <w:rPr>
          <w:rFonts w:ascii="Arial" w:hAnsi="Arial"/>
          <w:b w:val="0"/>
          <w:i w:val="0"/>
          <w:sz w:val="20"/>
        </w:rPr>
        <w:t>[Partner Name]</w:t>
      </w:r>
    </w:p>
    <w:p>
      <w:pPr>
        <w:spacing w:before="80" w:after="80"/>
        <w:jc w:val="left"/>
      </w:pPr>
      <w:r>
        <w:rPr>
          <w:rFonts w:ascii="Arial" w:hAnsi="Arial"/>
          <w:b w:val="0"/>
          <w:i w:val="0"/>
          <w:sz w:val="20"/>
        </w:rPr>
        <w:t>Partner — Membership No.: [XXXXXX]</w:t>
      </w:r>
    </w:p>
    <w:p>
      <w:pPr>
        <w:spacing w:before="80" w:after="80"/>
        <w:jc w:val="left"/>
      </w:pPr>
      <w:r>
        <w:rPr>
          <w:rFonts w:ascii="Arial" w:hAnsi="Arial"/>
          <w:b w:val="0"/>
          <w:i w:val="0"/>
          <w:sz w:val="20"/>
        </w:rPr>
        <w:t>UDIN: [XXXXXXXXXXXXXXXXXX]</w:t>
      </w:r>
    </w:p>
    <w:p>
      <w:pPr>
        <w:spacing w:before="80" w:after="80"/>
        <w:jc w:val="left"/>
      </w:pPr>
      <w:r>
        <w:rPr>
          <w:rFonts w:ascii="Arial" w:hAnsi="Arial"/>
          <w:b w:val="0"/>
          <w:i w:val="0"/>
          <w:sz w:val="20"/>
        </w:rPr>
        <w:t>Place: [City]</w:t>
      </w:r>
    </w:p>
    <w:p>
      <w:pPr>
        <w:spacing w:before="80" w:after="80"/>
        <w:jc w:val="left"/>
      </w:pPr>
      <w:r>
        <w:rPr>
          <w:rFonts w:ascii="Arial" w:hAnsi="Arial"/>
          <w:b w:val="0"/>
          <w:i w:val="0"/>
          <w:sz w:val="20"/>
        </w:rPr>
        <w:t>Date: [DD Month 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RBI Board Report — NBFCs</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74BA4FA-FC95-4149-B8A5-1CED0F119977}"/>
</file>

<file path=customXml/itemProps3.xml><?xml version="1.0" encoding="utf-8"?>
<ds:datastoreItem xmlns:ds="http://schemas.openxmlformats.org/officeDocument/2006/customXml" ds:itemID="{286BA2A6-304B-4F61-921F-56C2F78F3379}"/>
</file>

<file path=customXml/itemProps4.xml><?xml version="1.0" encoding="utf-8"?>
<ds:datastoreItem xmlns:ds="http://schemas.openxmlformats.org/officeDocument/2006/customXml" ds:itemID="{EBCABABA-3BF0-4181-A79E-1BC2307FAB1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