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CERTIFICATE OF NET OWNED FUNDS (NOF)</w:t>
      </w:r>
    </w:p>
    <w:p>
      <w:pPr>
        <w:spacing w:before="80" w:after="80"/>
        <w:jc w:val="center"/>
      </w:pPr>
      <w:r>
        <w:rPr>
          <w:rFonts w:ascii="Arial" w:hAnsi="Arial"/>
          <w:b w:val="0"/>
          <w:i/>
          <w:sz w:val="18"/>
        </w:rPr>
        <w:t>In terms of Section 45-IA of the Reserve Bank of India Act, 1934 and</w:t>
        <w:br/>
        <w:t>RBI Master Direction — Reserve Bank of India (Non-Banking Financial Companies — Scale Based Regulation) Directions, 2023</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NBFC]</w:t>
      </w:r>
    </w:p>
    <w:p/>
    <w:p>
      <w:pPr>
        <w:spacing w:before="80" w:after="80"/>
        <w:jc w:val="left"/>
      </w:pPr>
      <w:r>
        <w:rPr>
          <w:rFonts w:ascii="Arial" w:hAnsi="Arial"/>
          <w:b w:val="0"/>
          <w:i w:val="0"/>
          <w:sz w:val="20"/>
        </w:rPr>
        <w:t>We, [Name of Audit Firm], Chartered Accountants (FRN: [XXXXXX]W), the Statutory Auditors of [Name of the NBFC] ('the Company'), have examined the books of account and records of the Company and, based on the audited financial statements for the year ended 31st March 20XX, we certify the Net Owned Funds of the Company as computed below:</w:t>
      </w:r>
    </w:p>
    <w:p/>
    <w:p>
      <w:pPr>
        <w:spacing w:before="160" w:after="80"/>
      </w:pPr>
      <w:r>
        <w:rPr>
          <w:rFonts w:ascii="Arial" w:hAnsi="Arial"/>
          <w:b/>
          <w:i w:val="0"/>
          <w:sz w:val="24"/>
        </w:rPr>
        <w:t>Computation of Net Owned Funds (NOF)</w:t>
      </w:r>
    </w:p>
    <w:tbl>
      <w:tblPr>
        <w:tblStyle w:val="TableGrid"/>
        <w:tblW w:type="auto" w:w="0"/>
        <w:tblLook w:firstColumn="1" w:firstRow="1" w:lastColumn="0" w:lastRow="0" w:noHBand="0" w:noVBand="1" w:val="04A0"/>
      </w:tblPr>
      <w:tblGrid>
        <w:gridCol w:w="4857"/>
        <w:gridCol w:w="4857"/>
        <w:gridCol w:w="4857"/>
      </w:tblGrid>
      <w:tr>
        <w:tc>
          <w:tcPr>
            <w:tcW w:type="dxa" w:w="5102"/>
            <w:vAlign w:val="top"/>
            <w:shd w:val="clear" w:color="auto" w:fill="1F4E79"/>
          </w:tcPr>
          <w:p>
            <w:pPr>
              <w:jc w:val="center"/>
            </w:pPr>
            <w:r>
              <w:rPr>
                <w:rFonts w:ascii="Arial" w:hAnsi="Arial"/>
                <w:b/>
                <w:i w:val="0"/>
                <w:color w:val="FFFFFF"/>
                <w:sz w:val="18"/>
              </w:rPr>
              <w:t>Item</w:t>
            </w:r>
          </w:p>
        </w:tc>
        <w:tc>
          <w:tcPr>
            <w:tcW w:type="dxa" w:w="2835"/>
            <w:vAlign w:val="top"/>
            <w:shd w:val="clear" w:color="auto" w:fill="1F4E79"/>
          </w:tcPr>
          <w:p>
            <w:pPr>
              <w:jc w:val="center"/>
            </w:pPr>
            <w:r>
              <w:rPr>
                <w:rFonts w:ascii="Arial" w:hAnsi="Arial"/>
                <w:b/>
                <w:i w:val="0"/>
                <w:color w:val="FFFFFF"/>
                <w:sz w:val="18"/>
              </w:rPr>
              <w:t>Amount (₹ in Lakh)</w:t>
            </w:r>
          </w:p>
        </w:tc>
        <w:tc>
          <w:tcPr>
            <w:tcW w:type="dxa" w:w="3402"/>
            <w:vAlign w:val="top"/>
            <w:shd w:val="clear" w:color="auto" w:fill="1F4E79"/>
          </w:tcPr>
          <w:p>
            <w:pPr>
              <w:jc w:val="center"/>
            </w:pPr>
            <w:r>
              <w:rPr>
                <w:rFonts w:ascii="Arial" w:hAnsi="Arial"/>
                <w:b/>
                <w:i w:val="0"/>
                <w:color w:val="FFFFFF"/>
                <w:sz w:val="18"/>
              </w:rPr>
              <w:t>Notes</w:t>
            </w:r>
          </w:p>
        </w:tc>
      </w:tr>
      <w:tr>
        <w:tc>
          <w:tcPr>
            <w:tcW w:type="dxa" w:w="5102"/>
            <w:vAlign w:val="top"/>
          </w:tcPr>
          <w:p>
            <w:pPr>
              <w:jc w:val="left"/>
            </w:pPr>
            <w:r>
              <w:rPr>
                <w:rFonts w:ascii="Arial" w:hAnsi="Arial"/>
                <w:b w:val="0"/>
                <w:i w:val="0"/>
                <w:sz w:val="18"/>
              </w:rPr>
              <w:t>A. OWNED FUNDS</w:t>
            </w:r>
          </w:p>
        </w:tc>
        <w:tc>
          <w:tcPr>
            <w:tcW w:type="dxa" w:w="2835"/>
            <w:vAlign w:val="top"/>
          </w:tcPr>
          <w:p>
            <w:pPr>
              <w:jc w:val="left"/>
            </w:pPr>
            <w:r>
              <w:rPr>
                <w:rFonts w:ascii="Arial" w:hAnsi="Arial"/>
                <w:b w:val="0"/>
                <w:i w:val="0"/>
                <w:sz w:val="18"/>
              </w:rPr>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Paid-up Equity Share Capital</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t>As per audited B/S</w:t>
            </w:r>
          </w:p>
        </w:tc>
      </w:tr>
      <w:tr>
        <w:tc>
          <w:tcPr>
            <w:tcW w:type="dxa" w:w="5102"/>
            <w:vAlign w:val="top"/>
          </w:tcPr>
          <w:p>
            <w:pPr>
              <w:jc w:val="left"/>
            </w:pPr>
            <w:r>
              <w:rPr>
                <w:rFonts w:ascii="Arial" w:hAnsi="Arial"/>
                <w:b w:val="0"/>
                <w:i w:val="0"/>
                <w:sz w:val="18"/>
              </w:rPr>
              <w:t xml:space="preserve">  Compulsory Convertible Preference Shares (CCPS — if any)</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Share Premium Account</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Reserves &amp; Surplus (as per Balance Sheet)</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Less: Accumulated Losses (if any)</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Less: Deferred Revenue Expenditure not written off</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 xml:space="preserve">  Less: Intangible Assets</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Total Owned Funds (A)</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B. DEDUCTIONS FROM OWNED FUNDS</w:t>
            </w:r>
          </w:p>
        </w:tc>
        <w:tc>
          <w:tcPr>
            <w:tcW w:type="dxa" w:w="2835"/>
            <w:vAlign w:val="top"/>
            <w:shd w:val="clear" w:color="auto" w:fill="EBF3FB"/>
          </w:tcPr>
          <w:p>
            <w:pPr>
              <w:jc w:val="left"/>
            </w:pPr>
            <w:r>
              <w:rPr>
                <w:rFonts w:ascii="Arial" w:hAnsi="Arial"/>
                <w:b w:val="0"/>
                <w:i w:val="0"/>
                <w:sz w:val="18"/>
              </w:rPr>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 xml:space="preserve">  Investments in subsidiaries / group companies exceeding 10% of Owned Funds</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t>As per RBI Direction</w:t>
            </w:r>
          </w:p>
        </w:tc>
      </w:tr>
      <w:tr>
        <w:tc>
          <w:tcPr>
            <w:tcW w:type="dxa" w:w="5102"/>
            <w:vAlign w:val="top"/>
            <w:shd w:val="clear" w:color="auto" w:fill="EBF3FB"/>
          </w:tcPr>
          <w:p>
            <w:pPr>
              <w:jc w:val="left"/>
            </w:pPr>
            <w:r>
              <w:rPr>
                <w:rFonts w:ascii="Arial" w:hAnsi="Arial"/>
                <w:b w:val="0"/>
                <w:i w:val="0"/>
                <w:sz w:val="18"/>
              </w:rPr>
              <w:t xml:space="preserve">  Book value of debentures / bonds / outstanding loans / deposits with, and shares of, subsidiaries / group companies exceeding 10% of Owned Funds</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t>As per RBI Direction</w:t>
            </w:r>
          </w:p>
        </w:tc>
      </w:tr>
      <w:tr>
        <w:tc>
          <w:tcPr>
            <w:tcW w:type="dxa" w:w="5102"/>
            <w:vAlign w:val="top"/>
          </w:tcPr>
          <w:p>
            <w:pPr>
              <w:jc w:val="left"/>
            </w:pPr>
            <w:r>
              <w:rPr>
                <w:rFonts w:ascii="Arial" w:hAnsi="Arial"/>
                <w:b w:val="0"/>
                <w:i w:val="0"/>
                <w:sz w:val="18"/>
              </w:rPr>
              <w:t xml:space="preserve">  Total Deductions (B)</w:t>
            </w:r>
          </w:p>
        </w:tc>
        <w:tc>
          <w:tcPr>
            <w:tcW w:type="dxa" w:w="2835"/>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NET OWNED FUNDS (A minus B)</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r>
        <w:tc>
          <w:tcPr>
            <w:tcW w:type="dxa" w:w="5102"/>
            <w:vAlign w:val="top"/>
          </w:tcPr>
          <w:p>
            <w:pPr>
              <w:jc w:val="left"/>
            </w:pPr>
            <w:r>
              <w:rPr>
                <w:rFonts w:ascii="Arial" w:hAnsi="Arial"/>
                <w:b w:val="0"/>
                <w:i w:val="0"/>
                <w:sz w:val="18"/>
              </w:rPr>
              <w:t>Minimum NOF Required (Base Layer: ₹1,000 lakh / MFI: ₹500 lakh)</w:t>
            </w:r>
          </w:p>
        </w:tc>
        <w:tc>
          <w:tcPr>
            <w:tcW w:type="dxa" w:w="2835"/>
            <w:vAlign w:val="top"/>
          </w:tcPr>
          <w:p>
            <w:pPr>
              <w:jc w:val="left"/>
            </w:pPr>
            <w:r>
              <w:rPr>
                <w:rFonts w:ascii="Arial" w:hAnsi="Arial"/>
                <w:b w:val="0"/>
                <w:i w:val="0"/>
                <w:sz w:val="18"/>
              </w:rPr>
              <w:t>₹[1,000 / 500] lakh</w:t>
            </w:r>
          </w:p>
        </w:tc>
        <w:tc>
          <w:tcPr>
            <w:tcW w:type="dxa" w:w="3402"/>
            <w:vAlign w:val="top"/>
          </w:tcPr>
          <w:p>
            <w:pPr>
              <w:jc w:val="left"/>
            </w:pPr>
            <w:r>
              <w:rPr>
                <w:rFonts w:ascii="Arial" w:hAnsi="Arial"/>
                <w:b w:val="0"/>
                <w:i w:val="0"/>
                <w:sz w:val="18"/>
              </w:rPr>
              <w:t>As per SBR Directions</w:t>
            </w:r>
          </w:p>
        </w:tc>
      </w:tr>
      <w:tr>
        <w:tc>
          <w:tcPr>
            <w:tcW w:type="dxa" w:w="5102"/>
            <w:vAlign w:val="top"/>
            <w:shd w:val="clear" w:color="auto" w:fill="EBF3FB"/>
          </w:tcPr>
          <w:p>
            <w:pPr>
              <w:jc w:val="left"/>
            </w:pPr>
            <w:r>
              <w:rPr>
                <w:rFonts w:ascii="Arial" w:hAnsi="Arial"/>
                <w:b w:val="0"/>
                <w:i w:val="0"/>
                <w:sz w:val="18"/>
              </w:rPr>
              <w:t>Surplus / (Shortfall)</w:t>
            </w:r>
          </w:p>
        </w:tc>
        <w:tc>
          <w:tcPr>
            <w:tcW w:type="dxa" w:w="2835"/>
            <w:vAlign w:val="top"/>
            <w:shd w:val="clear" w:color="auto" w:fill="EBF3FB"/>
          </w:tcPr>
          <w:p>
            <w:pPr>
              <w:jc w:val="left"/>
            </w:pPr>
            <w:r>
              <w:rPr>
                <w:rFonts w:ascii="Arial" w:hAnsi="Arial"/>
                <w:b w:val="0"/>
                <w:i w:val="0"/>
                <w:sz w:val="18"/>
              </w:rPr>
              <w:t>[XX]</w:t>
            </w:r>
          </w:p>
        </w:tc>
        <w:tc>
          <w:tcPr>
            <w:tcW w:type="dxa" w:w="3402"/>
            <w:vAlign w:val="top"/>
            <w:shd w:val="clear" w:color="auto" w:fill="EBF3FB"/>
          </w:tcPr>
          <w:p>
            <w:pPr>
              <w:jc w:val="left"/>
            </w:pPr>
            <w:r>
              <w:rPr>
                <w:rFonts w:ascii="Arial" w:hAnsi="Arial"/>
                <w:b w:val="0"/>
                <w:i w:val="0"/>
                <w:sz w:val="18"/>
              </w:rPr>
            </w:r>
          </w:p>
        </w:tc>
      </w:tr>
    </w:tbl>
    <w:p/>
    <w:p>
      <w:pPr>
        <w:spacing w:before="160" w:after="80"/>
      </w:pPr>
      <w:r>
        <w:rPr>
          <w:rFonts w:ascii="Arial" w:hAnsi="Arial"/>
          <w:b/>
          <w:i w:val="0"/>
          <w:sz w:val="24"/>
        </w:rPr>
        <w:t>Certification</w:t>
      </w:r>
    </w:p>
    <w:p>
      <w:pPr>
        <w:spacing w:before="80" w:after="80"/>
        <w:jc w:val="left"/>
      </w:pPr>
      <w:r>
        <w:rPr>
          <w:rFonts w:ascii="Arial" w:hAnsi="Arial"/>
          <w:b w:val="0"/>
          <w:i w:val="0"/>
          <w:sz w:val="20"/>
        </w:rPr>
        <w:t>Based on our audit of the financial statements for the year ended 31st March 20XX, we certify that the Net Owned Funds of [Name of the NBFC] as at 31st March 20XX amount to ₹[XX] lakh (Rupees [XX in words] only), which [meets / does not meet] the minimum prescribed NOF of ₹[1,000 / 500] lakh.</w:t>
      </w:r>
    </w:p>
    <w:p>
      <w:pPr>
        <w:spacing w:before="80" w:after="80"/>
        <w:jc w:val="left"/>
      </w:pPr>
      <w:r>
        <w:rPr>
          <w:rFonts w:ascii="Arial" w:hAnsi="Arial"/>
          <w:b w:val="0"/>
          <w:i/>
          <w:sz w:val="18"/>
        </w:rPr>
        <w:t>This certificate is issued for submission to the Reserve Bank of India and/or as required by the Board of Directors and is based solely on the audited financial statements for the year ended 31st March 20XX.</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NOF Certificate — NBFCs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D393519-D1DC-492C-AD41-8511082DBFEE}"/>
</file>

<file path=customXml/itemProps3.xml><?xml version="1.0" encoding="utf-8"?>
<ds:datastoreItem xmlns:ds="http://schemas.openxmlformats.org/officeDocument/2006/customXml" ds:itemID="{0322480C-BE83-4F21-AC6A-D1F2AF2A5FE0}"/>
</file>

<file path=customXml/itemProps4.xml><?xml version="1.0" encoding="utf-8"?>
<ds:datastoreItem xmlns:ds="http://schemas.openxmlformats.org/officeDocument/2006/customXml" ds:itemID="{43358499-CD5D-4DC1-A116-E014DA8BD8A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