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CAPITAL ADEQUACY (CRAR) CERTIFICATE</w:t>
      </w:r>
    </w:p>
    <w:p>
      <w:pPr>
        <w:spacing w:before="80" w:after="80"/>
        <w:jc w:val="center"/>
      </w:pPr>
      <w:r>
        <w:rPr>
          <w:rFonts w:ascii="Arial" w:hAnsi="Arial"/>
          <w:b w:val="0"/>
          <w:i/>
          <w:sz w:val="18"/>
        </w:rPr>
        <w:t>In terms of RBI Master Direction — Reserve Bank of India (Non-Banking Financial Companies — Scale Based Regulation) Directions, 2023</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NBFC]</w:t>
      </w:r>
    </w:p>
    <w:p/>
    <w:p>
      <w:pPr>
        <w:spacing w:before="80" w:after="80"/>
        <w:jc w:val="left"/>
      </w:pPr>
      <w:r>
        <w:rPr>
          <w:rFonts w:ascii="Arial" w:hAnsi="Arial"/>
          <w:b w:val="0"/>
          <w:i w:val="0"/>
          <w:sz w:val="20"/>
        </w:rPr>
        <w:t>We, [Name of Audit Firm], Chartered Accountants (FRN: [XXXXXX]W), the Statutory Auditors of [Name of the NBFC] ('the Company'), have reviewed the Capital Adequacy computation prepared by the management of the Company for the year ended 31st March 20XX, in accordance with the RBI SBR Directions.</w:t>
      </w:r>
    </w:p>
    <w:p/>
    <w:p>
      <w:pPr>
        <w:spacing w:before="160" w:after="80"/>
      </w:pPr>
      <w:r>
        <w:rPr>
          <w:rFonts w:ascii="Arial" w:hAnsi="Arial"/>
          <w:b/>
          <w:i w:val="0"/>
          <w:sz w:val="24"/>
        </w:rPr>
        <w:t>I. Capital Funds for CRAR Computation</w:t>
      </w:r>
    </w:p>
    <w:tbl>
      <w:tblPr>
        <w:tblStyle w:val="TableGrid"/>
        <w:tblW w:type="auto" w:w="0"/>
        <w:tblLook w:firstColumn="1" w:firstRow="1" w:lastColumn="0" w:lastRow="0" w:noHBand="0" w:noVBand="1" w:val="04A0"/>
      </w:tblPr>
      <w:tblGrid>
        <w:gridCol w:w="4857"/>
        <w:gridCol w:w="4857"/>
        <w:gridCol w:w="4857"/>
      </w:tblGrid>
      <w:tr>
        <w:tc>
          <w:tcPr>
            <w:tcW w:type="dxa" w:w="4535"/>
            <w:vAlign w:val="top"/>
            <w:shd w:val="clear" w:color="auto" w:fill="1F4E79"/>
          </w:tcPr>
          <w:p>
            <w:pPr>
              <w:jc w:val="center"/>
            </w:pPr>
            <w:r>
              <w:rPr>
                <w:rFonts w:ascii="Arial" w:hAnsi="Arial"/>
                <w:b/>
                <w:i w:val="0"/>
                <w:color w:val="FFFFFF"/>
                <w:sz w:val="18"/>
              </w:rPr>
              <w:t>Component</w:t>
            </w:r>
          </w:p>
        </w:tc>
        <w:tc>
          <w:tcPr>
            <w:tcW w:type="dxa" w:w="2835"/>
            <w:vAlign w:val="top"/>
            <w:shd w:val="clear" w:color="auto" w:fill="1F4E79"/>
          </w:tcPr>
          <w:p>
            <w:pPr>
              <w:jc w:val="center"/>
            </w:pPr>
            <w:r>
              <w:rPr>
                <w:rFonts w:ascii="Arial" w:hAnsi="Arial"/>
                <w:b/>
                <w:i w:val="0"/>
                <w:color w:val="FFFFFF"/>
                <w:sz w:val="18"/>
              </w:rPr>
              <w:t>Amount (₹ in Lakh)</w:t>
            </w:r>
          </w:p>
        </w:tc>
        <w:tc>
          <w:tcPr>
            <w:tcW w:type="dxa" w:w="3969"/>
            <w:vAlign w:val="top"/>
            <w:shd w:val="clear" w:color="auto" w:fill="1F4E79"/>
          </w:tcPr>
          <w:p>
            <w:pPr>
              <w:jc w:val="center"/>
            </w:pPr>
            <w:r>
              <w:rPr>
                <w:rFonts w:ascii="Arial" w:hAnsi="Arial"/>
                <w:b/>
                <w:i w:val="0"/>
                <w:color w:val="FFFFFF"/>
                <w:sz w:val="18"/>
              </w:rPr>
              <w:t>Basis</w:t>
            </w:r>
          </w:p>
        </w:tc>
      </w:tr>
      <w:tr>
        <w:tc>
          <w:tcPr>
            <w:tcW w:type="dxa" w:w="4535"/>
            <w:vAlign w:val="top"/>
          </w:tcPr>
          <w:p>
            <w:pPr>
              <w:jc w:val="left"/>
            </w:pPr>
            <w:r>
              <w:rPr>
                <w:rFonts w:ascii="Arial" w:hAnsi="Arial"/>
                <w:b w:val="0"/>
                <w:i w:val="0"/>
                <w:sz w:val="18"/>
              </w:rPr>
              <w:t>TIER 1 CAPITAL</w:t>
            </w:r>
          </w:p>
        </w:tc>
        <w:tc>
          <w:tcPr>
            <w:tcW w:type="dxa" w:w="2835"/>
            <w:vAlign w:val="top"/>
          </w:tcPr>
          <w:p>
            <w:pPr>
              <w:jc w:val="left"/>
            </w:pPr>
            <w:r>
              <w:rPr>
                <w:rFonts w:ascii="Arial" w:hAnsi="Arial"/>
                <w:b w:val="0"/>
                <w:i w:val="0"/>
                <w:sz w:val="18"/>
              </w:rPr>
            </w:r>
          </w:p>
        </w:tc>
        <w:tc>
          <w:tcPr>
            <w:tcW w:type="dxa" w:w="3969"/>
            <w:vAlign w:val="top"/>
          </w:tcPr>
          <w:p>
            <w:pPr>
              <w:jc w:val="left"/>
            </w:pPr>
            <w:r>
              <w:rPr>
                <w:rFonts w:ascii="Arial" w:hAnsi="Arial"/>
                <w:b w:val="0"/>
                <w:i w:val="0"/>
                <w:sz w:val="18"/>
              </w:rPr>
            </w:r>
          </w:p>
        </w:tc>
      </w:tr>
      <w:tr>
        <w:tc>
          <w:tcPr>
            <w:tcW w:type="dxa" w:w="4535"/>
            <w:vAlign w:val="top"/>
            <w:shd w:val="clear" w:color="auto" w:fill="EBF3FB"/>
          </w:tcPr>
          <w:p>
            <w:pPr>
              <w:jc w:val="left"/>
            </w:pPr>
            <w:r>
              <w:rPr>
                <w:rFonts w:ascii="Arial" w:hAnsi="Arial"/>
                <w:b w:val="0"/>
                <w:i w:val="0"/>
                <w:sz w:val="18"/>
              </w:rPr>
              <w:t xml:space="preserve">  Net Owned Funds (NOF)</w:t>
            </w:r>
          </w:p>
        </w:tc>
        <w:tc>
          <w:tcPr>
            <w:tcW w:type="dxa" w:w="2835"/>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t>As per NOF certificate</w:t>
            </w:r>
          </w:p>
        </w:tc>
      </w:tr>
      <w:tr>
        <w:tc>
          <w:tcPr>
            <w:tcW w:type="dxa" w:w="4535"/>
            <w:vAlign w:val="top"/>
          </w:tcPr>
          <w:p>
            <w:pPr>
              <w:jc w:val="left"/>
            </w:pPr>
            <w:r>
              <w:rPr>
                <w:rFonts w:ascii="Arial" w:hAnsi="Arial"/>
                <w:b w:val="0"/>
                <w:i w:val="0"/>
                <w:sz w:val="18"/>
              </w:rPr>
              <w:t xml:space="preserve">  Less: Investments in unrated shares of subsidiaries/affiliates exceeding NOF-related limits</w:t>
            </w:r>
          </w:p>
        </w:tc>
        <w:tc>
          <w:tcPr>
            <w:tcW w:type="dxa" w:w="2835"/>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t>As per SBR Directions</w:t>
            </w:r>
          </w:p>
        </w:tc>
      </w:tr>
      <w:tr>
        <w:tc>
          <w:tcPr>
            <w:tcW w:type="dxa" w:w="4535"/>
            <w:vAlign w:val="top"/>
            <w:shd w:val="clear" w:color="auto" w:fill="EBF3FB"/>
          </w:tcPr>
          <w:p>
            <w:pPr>
              <w:jc w:val="left"/>
            </w:pPr>
            <w:r>
              <w:rPr>
                <w:rFonts w:ascii="Arial" w:hAnsi="Arial"/>
                <w:b w:val="0"/>
                <w:i w:val="0"/>
                <w:sz w:val="18"/>
              </w:rPr>
              <w:t>Total Tier 1 Capital</w:t>
            </w:r>
          </w:p>
        </w:tc>
        <w:tc>
          <w:tcPr>
            <w:tcW w:type="dxa" w:w="2835"/>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r>
          </w:p>
        </w:tc>
      </w:tr>
      <w:tr>
        <w:tc>
          <w:tcPr>
            <w:tcW w:type="dxa" w:w="4535"/>
            <w:vAlign w:val="top"/>
          </w:tcPr>
          <w:p>
            <w:pPr>
              <w:jc w:val="left"/>
            </w:pPr>
            <w:r>
              <w:rPr>
                <w:rFonts w:ascii="Arial" w:hAnsi="Arial"/>
                <w:b w:val="0"/>
                <w:i w:val="0"/>
                <w:sz w:val="18"/>
              </w:rPr>
              <w:t>TIER 2 CAPITAL (Capped at 100% of Tier 1)</w:t>
            </w:r>
          </w:p>
        </w:tc>
        <w:tc>
          <w:tcPr>
            <w:tcW w:type="dxa" w:w="2835"/>
            <w:vAlign w:val="top"/>
          </w:tcPr>
          <w:p>
            <w:pPr>
              <w:jc w:val="left"/>
            </w:pPr>
            <w:r>
              <w:rPr>
                <w:rFonts w:ascii="Arial" w:hAnsi="Arial"/>
                <w:b w:val="0"/>
                <w:i w:val="0"/>
                <w:sz w:val="18"/>
              </w:rPr>
            </w:r>
          </w:p>
        </w:tc>
        <w:tc>
          <w:tcPr>
            <w:tcW w:type="dxa" w:w="3969"/>
            <w:vAlign w:val="top"/>
          </w:tcPr>
          <w:p>
            <w:pPr>
              <w:jc w:val="left"/>
            </w:pPr>
            <w:r>
              <w:rPr>
                <w:rFonts w:ascii="Arial" w:hAnsi="Arial"/>
                <w:b w:val="0"/>
                <w:i w:val="0"/>
                <w:sz w:val="18"/>
              </w:rPr>
            </w:r>
          </w:p>
        </w:tc>
      </w:tr>
      <w:tr>
        <w:tc>
          <w:tcPr>
            <w:tcW w:type="dxa" w:w="4535"/>
            <w:vAlign w:val="top"/>
            <w:shd w:val="clear" w:color="auto" w:fill="EBF3FB"/>
          </w:tcPr>
          <w:p>
            <w:pPr>
              <w:jc w:val="left"/>
            </w:pPr>
            <w:r>
              <w:rPr>
                <w:rFonts w:ascii="Arial" w:hAnsi="Arial"/>
                <w:b w:val="0"/>
                <w:i w:val="0"/>
                <w:sz w:val="18"/>
              </w:rPr>
              <w:t xml:space="preserve">  Provision for Standard Assets (maximum 1.25% of RWA)</w:t>
            </w:r>
          </w:p>
        </w:tc>
        <w:tc>
          <w:tcPr>
            <w:tcW w:type="dxa" w:w="2835"/>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r>
          </w:p>
        </w:tc>
      </w:tr>
      <w:tr>
        <w:tc>
          <w:tcPr>
            <w:tcW w:type="dxa" w:w="4535"/>
            <w:vAlign w:val="top"/>
          </w:tcPr>
          <w:p>
            <w:pPr>
              <w:jc w:val="left"/>
            </w:pPr>
            <w:r>
              <w:rPr>
                <w:rFonts w:ascii="Arial" w:hAnsi="Arial"/>
                <w:b w:val="0"/>
                <w:i w:val="0"/>
                <w:sz w:val="18"/>
              </w:rPr>
              <w:t xml:space="preserve">  Subordinated Debt (Tier 2 bonds — eligible portion)</w:t>
            </w:r>
          </w:p>
        </w:tc>
        <w:tc>
          <w:tcPr>
            <w:tcW w:type="dxa" w:w="2835"/>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r>
          </w:p>
        </w:tc>
      </w:tr>
      <w:tr>
        <w:tc>
          <w:tcPr>
            <w:tcW w:type="dxa" w:w="4535"/>
            <w:vAlign w:val="top"/>
            <w:shd w:val="clear" w:color="auto" w:fill="EBF3FB"/>
          </w:tcPr>
          <w:p>
            <w:pPr>
              <w:jc w:val="left"/>
            </w:pPr>
            <w:r>
              <w:rPr>
                <w:rFonts w:ascii="Arial" w:hAnsi="Arial"/>
                <w:b w:val="0"/>
                <w:i w:val="0"/>
                <w:sz w:val="18"/>
              </w:rPr>
              <w:t xml:space="preserve">  Revaluation Reserves (eligible at 45%)</w:t>
            </w:r>
          </w:p>
        </w:tc>
        <w:tc>
          <w:tcPr>
            <w:tcW w:type="dxa" w:w="2835"/>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r>
          </w:p>
        </w:tc>
      </w:tr>
      <w:tr>
        <w:tc>
          <w:tcPr>
            <w:tcW w:type="dxa" w:w="4535"/>
            <w:vAlign w:val="top"/>
          </w:tcPr>
          <w:p>
            <w:pPr>
              <w:jc w:val="left"/>
            </w:pPr>
            <w:r>
              <w:rPr>
                <w:rFonts w:ascii="Arial" w:hAnsi="Arial"/>
                <w:b w:val="0"/>
                <w:i w:val="0"/>
                <w:sz w:val="18"/>
              </w:rPr>
              <w:t>Total Tier 2 Capital</w:t>
            </w:r>
          </w:p>
        </w:tc>
        <w:tc>
          <w:tcPr>
            <w:tcW w:type="dxa" w:w="2835"/>
            <w:vAlign w:val="top"/>
          </w:tcPr>
          <w:p>
            <w:pPr>
              <w:jc w:val="left"/>
            </w:pPr>
            <w:r>
              <w:rPr>
                <w:rFonts w:ascii="Arial" w:hAnsi="Arial"/>
                <w:b w:val="0"/>
                <w:i w:val="0"/>
                <w:sz w:val="18"/>
              </w:rPr>
              <w:t>[XX]</w:t>
            </w:r>
          </w:p>
        </w:tc>
        <w:tc>
          <w:tcPr>
            <w:tcW w:type="dxa" w:w="3969"/>
            <w:vAlign w:val="top"/>
          </w:tcPr>
          <w:p>
            <w:pPr>
              <w:jc w:val="left"/>
            </w:pPr>
            <w:r>
              <w:rPr>
                <w:rFonts w:ascii="Arial" w:hAnsi="Arial"/>
                <w:b w:val="0"/>
                <w:i w:val="0"/>
                <w:sz w:val="18"/>
              </w:rPr>
            </w:r>
          </w:p>
        </w:tc>
      </w:tr>
      <w:tr>
        <w:tc>
          <w:tcPr>
            <w:tcW w:type="dxa" w:w="4535"/>
            <w:vAlign w:val="top"/>
            <w:shd w:val="clear" w:color="auto" w:fill="EBF3FB"/>
          </w:tcPr>
          <w:p>
            <w:pPr>
              <w:jc w:val="left"/>
            </w:pPr>
            <w:r>
              <w:rPr>
                <w:rFonts w:ascii="Arial" w:hAnsi="Arial"/>
                <w:b w:val="0"/>
                <w:i w:val="0"/>
                <w:sz w:val="18"/>
              </w:rPr>
              <w:t>Total Capital Funds (Tier 1 + Tier 2)</w:t>
            </w:r>
          </w:p>
        </w:tc>
        <w:tc>
          <w:tcPr>
            <w:tcW w:type="dxa" w:w="2835"/>
            <w:vAlign w:val="top"/>
            <w:shd w:val="clear" w:color="auto" w:fill="EBF3FB"/>
          </w:tcPr>
          <w:p>
            <w:pPr>
              <w:jc w:val="left"/>
            </w:pPr>
            <w:r>
              <w:rPr>
                <w:rFonts w:ascii="Arial" w:hAnsi="Arial"/>
                <w:b w:val="0"/>
                <w:i w:val="0"/>
                <w:sz w:val="18"/>
              </w:rPr>
              <w:t>[XX]</w:t>
            </w:r>
          </w:p>
        </w:tc>
        <w:tc>
          <w:tcPr>
            <w:tcW w:type="dxa" w:w="3969"/>
            <w:vAlign w:val="top"/>
            <w:shd w:val="clear" w:color="auto" w:fill="EBF3FB"/>
          </w:tcPr>
          <w:p>
            <w:pPr>
              <w:jc w:val="left"/>
            </w:pPr>
            <w:r>
              <w:rPr>
                <w:rFonts w:ascii="Arial" w:hAnsi="Arial"/>
                <w:b w:val="0"/>
                <w:i w:val="0"/>
                <w:sz w:val="18"/>
              </w:rPr>
            </w:r>
          </w:p>
        </w:tc>
      </w:tr>
    </w:tbl>
    <w:p/>
    <w:p>
      <w:pPr>
        <w:spacing w:before="160" w:after="80"/>
      </w:pPr>
      <w:r>
        <w:rPr>
          <w:rFonts w:ascii="Arial" w:hAnsi="Arial"/>
          <w:b/>
          <w:i w:val="0"/>
          <w:sz w:val="24"/>
        </w:rPr>
        <w:t>II. Risk Weighted Assets (RWA)</w:t>
      </w:r>
    </w:p>
    <w:tbl>
      <w:tblPr>
        <w:tblStyle w:val="TableGrid"/>
        <w:tblW w:type="auto" w:w="0"/>
        <w:tblLook w:firstColumn="1" w:firstRow="1" w:lastColumn="0" w:lastRow="0" w:noHBand="0" w:noVBand="1" w:val="04A0"/>
      </w:tblPr>
      <w:tblGrid>
        <w:gridCol w:w="3642"/>
        <w:gridCol w:w="3642"/>
        <w:gridCol w:w="3642"/>
        <w:gridCol w:w="3642"/>
      </w:tblGrid>
      <w:tr>
        <w:tc>
          <w:tcPr>
            <w:tcW w:type="dxa" w:w="3969"/>
            <w:vAlign w:val="top"/>
            <w:shd w:val="clear" w:color="auto" w:fill="1F4E79"/>
          </w:tcPr>
          <w:p>
            <w:pPr>
              <w:jc w:val="center"/>
            </w:pPr>
            <w:r>
              <w:rPr>
                <w:rFonts w:ascii="Arial" w:hAnsi="Arial"/>
                <w:b/>
                <w:i w:val="0"/>
                <w:color w:val="FFFFFF"/>
                <w:sz w:val="18"/>
              </w:rPr>
              <w:t>Asset Category</w:t>
            </w:r>
          </w:p>
        </w:tc>
        <w:tc>
          <w:tcPr>
            <w:tcW w:type="dxa" w:w="2268"/>
            <w:vAlign w:val="top"/>
            <w:shd w:val="clear" w:color="auto" w:fill="1F4E79"/>
          </w:tcPr>
          <w:p>
            <w:pPr>
              <w:jc w:val="center"/>
            </w:pPr>
            <w:r>
              <w:rPr>
                <w:rFonts w:ascii="Arial" w:hAnsi="Arial"/>
                <w:b/>
                <w:i w:val="0"/>
                <w:color w:val="FFFFFF"/>
                <w:sz w:val="18"/>
              </w:rPr>
              <w:t>Book Value (₹ Lakh)</w:t>
            </w:r>
          </w:p>
        </w:tc>
        <w:tc>
          <w:tcPr>
            <w:tcW w:type="dxa" w:w="2268"/>
            <w:vAlign w:val="top"/>
            <w:shd w:val="clear" w:color="auto" w:fill="1F4E79"/>
          </w:tcPr>
          <w:p>
            <w:pPr>
              <w:jc w:val="center"/>
            </w:pPr>
            <w:r>
              <w:rPr>
                <w:rFonts w:ascii="Arial" w:hAnsi="Arial"/>
                <w:b/>
                <w:i w:val="0"/>
                <w:color w:val="FFFFFF"/>
                <w:sz w:val="18"/>
              </w:rPr>
              <w:t>Risk Weight (%)</w:t>
            </w:r>
          </w:p>
        </w:tc>
        <w:tc>
          <w:tcPr>
            <w:tcW w:type="dxa" w:w="2835"/>
            <w:vAlign w:val="top"/>
            <w:shd w:val="clear" w:color="auto" w:fill="1F4E79"/>
          </w:tcPr>
          <w:p>
            <w:pPr>
              <w:jc w:val="center"/>
            </w:pPr>
            <w:r>
              <w:rPr>
                <w:rFonts w:ascii="Arial" w:hAnsi="Arial"/>
                <w:b/>
                <w:i w:val="0"/>
                <w:color w:val="FFFFFF"/>
                <w:sz w:val="18"/>
              </w:rPr>
              <w:t>RWA (₹ Lakh)</w:t>
            </w:r>
          </w:p>
        </w:tc>
      </w:tr>
      <w:tr>
        <w:tc>
          <w:tcPr>
            <w:tcW w:type="dxa" w:w="3969"/>
            <w:vAlign w:val="top"/>
          </w:tcPr>
          <w:p>
            <w:pPr>
              <w:jc w:val="left"/>
            </w:pPr>
            <w:r>
              <w:rPr>
                <w:rFonts w:ascii="Arial" w:hAnsi="Arial"/>
                <w:b w:val="0"/>
                <w:i w:val="0"/>
                <w:sz w:val="18"/>
              </w:rPr>
              <w:t>Cash and near-cash items</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0%</w:t>
            </w:r>
          </w:p>
        </w:tc>
        <w:tc>
          <w:tcPr>
            <w:tcW w:type="dxa" w:w="2835"/>
            <w:vAlign w:val="top"/>
          </w:tcPr>
          <w:p>
            <w:pPr>
              <w:jc w:val="left"/>
            </w:pPr>
            <w:r>
              <w:rPr>
                <w:rFonts w:ascii="Arial" w:hAnsi="Arial"/>
                <w:b w:val="0"/>
                <w:i w:val="0"/>
                <w:sz w:val="18"/>
              </w:rPr>
              <w:t>0</w:t>
            </w:r>
          </w:p>
        </w:tc>
      </w:tr>
      <w:tr>
        <w:tc>
          <w:tcPr>
            <w:tcW w:type="dxa" w:w="3969"/>
            <w:vAlign w:val="top"/>
            <w:shd w:val="clear" w:color="auto" w:fill="EBF3FB"/>
          </w:tcPr>
          <w:p>
            <w:pPr>
              <w:jc w:val="left"/>
            </w:pPr>
            <w:r>
              <w:rPr>
                <w:rFonts w:ascii="Arial" w:hAnsi="Arial"/>
                <w:b w:val="0"/>
                <w:i w:val="0"/>
                <w:sz w:val="18"/>
              </w:rPr>
              <w:t>Fixed deposits with Scheduled Commercial Banks</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20%</w:t>
            </w:r>
          </w:p>
        </w:tc>
        <w:tc>
          <w:tcPr>
            <w:tcW w:type="dxa" w:w="2835"/>
            <w:vAlign w:val="top"/>
            <w:shd w:val="clear" w:color="auto" w:fill="EBF3FB"/>
          </w:tcPr>
          <w:p>
            <w:pPr>
              <w:jc w:val="left"/>
            </w:pPr>
            <w:r>
              <w:rPr>
                <w:rFonts w:ascii="Arial" w:hAnsi="Arial"/>
                <w:b w:val="0"/>
                <w:i w:val="0"/>
                <w:sz w:val="18"/>
              </w:rPr>
              <w:t>[XX]</w:t>
            </w:r>
          </w:p>
        </w:tc>
      </w:tr>
      <w:tr>
        <w:tc>
          <w:tcPr>
            <w:tcW w:type="dxa" w:w="3969"/>
            <w:vAlign w:val="top"/>
          </w:tcPr>
          <w:p>
            <w:pPr>
              <w:jc w:val="left"/>
            </w:pPr>
            <w:r>
              <w:rPr>
                <w:rFonts w:ascii="Arial" w:hAnsi="Arial"/>
                <w:b w:val="0"/>
                <w:i w:val="0"/>
                <w:sz w:val="18"/>
              </w:rPr>
              <w:t>Loans — Standard (secured by tangible security)</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100%</w:t>
            </w:r>
          </w:p>
        </w:tc>
        <w:tc>
          <w:tcPr>
            <w:tcW w:type="dxa" w:w="2835"/>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Loans — Standard (unsecured)</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125%</w:t>
            </w:r>
          </w:p>
        </w:tc>
        <w:tc>
          <w:tcPr>
            <w:tcW w:type="dxa" w:w="2835"/>
            <w:vAlign w:val="top"/>
            <w:shd w:val="clear" w:color="auto" w:fill="EBF3FB"/>
          </w:tcPr>
          <w:p>
            <w:pPr>
              <w:jc w:val="left"/>
            </w:pPr>
            <w:r>
              <w:rPr>
                <w:rFonts w:ascii="Arial" w:hAnsi="Arial"/>
                <w:b w:val="0"/>
                <w:i w:val="0"/>
                <w:sz w:val="18"/>
              </w:rPr>
              <w:t>[XX]</w:t>
            </w:r>
          </w:p>
        </w:tc>
      </w:tr>
      <w:tr>
        <w:tc>
          <w:tcPr>
            <w:tcW w:type="dxa" w:w="3969"/>
            <w:vAlign w:val="top"/>
          </w:tcPr>
          <w:p>
            <w:pPr>
              <w:jc w:val="left"/>
            </w:pPr>
            <w:r>
              <w:rPr>
                <w:rFonts w:ascii="Arial" w:hAnsi="Arial"/>
                <w:b w:val="0"/>
                <w:i w:val="0"/>
                <w:sz w:val="18"/>
              </w:rPr>
              <w:t>NPA accounts (net of provisions)</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150%</w:t>
            </w:r>
          </w:p>
        </w:tc>
        <w:tc>
          <w:tcPr>
            <w:tcW w:type="dxa" w:w="2835"/>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Investments in Government Securities</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0%</w:t>
            </w:r>
          </w:p>
        </w:tc>
        <w:tc>
          <w:tcPr>
            <w:tcW w:type="dxa" w:w="2835"/>
            <w:vAlign w:val="top"/>
            <w:shd w:val="clear" w:color="auto" w:fill="EBF3FB"/>
          </w:tcPr>
          <w:p>
            <w:pPr>
              <w:jc w:val="left"/>
            </w:pPr>
            <w:r>
              <w:rPr>
                <w:rFonts w:ascii="Arial" w:hAnsi="Arial"/>
                <w:b w:val="0"/>
                <w:i w:val="0"/>
                <w:sz w:val="18"/>
              </w:rPr>
              <w:t>0</w:t>
            </w:r>
          </w:p>
        </w:tc>
      </w:tr>
      <w:tr>
        <w:tc>
          <w:tcPr>
            <w:tcW w:type="dxa" w:w="3969"/>
            <w:vAlign w:val="top"/>
          </w:tcPr>
          <w:p>
            <w:pPr>
              <w:jc w:val="left"/>
            </w:pPr>
            <w:r>
              <w:rPr>
                <w:rFonts w:ascii="Arial" w:hAnsi="Arial"/>
                <w:b w:val="0"/>
                <w:i w:val="0"/>
                <w:sz w:val="18"/>
              </w:rPr>
              <w:t>Investments in equity shares (listed)</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125%</w:t>
            </w:r>
          </w:p>
        </w:tc>
        <w:tc>
          <w:tcPr>
            <w:tcW w:type="dxa" w:w="2835"/>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Fixed Assets</w:t>
            </w:r>
          </w:p>
        </w:tc>
        <w:tc>
          <w:tcPr>
            <w:tcW w:type="dxa" w:w="2268"/>
            <w:vAlign w:val="top"/>
            <w:shd w:val="clear" w:color="auto" w:fill="EBF3FB"/>
          </w:tcPr>
          <w:p>
            <w:pPr>
              <w:jc w:val="left"/>
            </w:pPr>
            <w:r>
              <w:rPr>
                <w:rFonts w:ascii="Arial" w:hAnsi="Arial"/>
                <w:b w:val="0"/>
                <w:i w:val="0"/>
                <w:sz w:val="18"/>
              </w:rPr>
              <w:t>[XX]</w:t>
            </w:r>
          </w:p>
        </w:tc>
        <w:tc>
          <w:tcPr>
            <w:tcW w:type="dxa" w:w="2268"/>
            <w:vAlign w:val="top"/>
            <w:shd w:val="clear" w:color="auto" w:fill="EBF3FB"/>
          </w:tcPr>
          <w:p>
            <w:pPr>
              <w:jc w:val="left"/>
            </w:pPr>
            <w:r>
              <w:rPr>
                <w:rFonts w:ascii="Arial" w:hAnsi="Arial"/>
                <w:b w:val="0"/>
                <w:i w:val="0"/>
                <w:sz w:val="18"/>
              </w:rPr>
              <w:t>100%</w:t>
            </w:r>
          </w:p>
        </w:tc>
        <w:tc>
          <w:tcPr>
            <w:tcW w:type="dxa" w:w="2835"/>
            <w:vAlign w:val="top"/>
            <w:shd w:val="clear" w:color="auto" w:fill="EBF3FB"/>
          </w:tcPr>
          <w:p>
            <w:pPr>
              <w:jc w:val="left"/>
            </w:pPr>
            <w:r>
              <w:rPr>
                <w:rFonts w:ascii="Arial" w:hAnsi="Arial"/>
                <w:b w:val="0"/>
                <w:i w:val="0"/>
                <w:sz w:val="18"/>
              </w:rPr>
              <w:t>[XX]</w:t>
            </w:r>
          </w:p>
        </w:tc>
      </w:tr>
      <w:tr>
        <w:tc>
          <w:tcPr>
            <w:tcW w:type="dxa" w:w="3969"/>
            <w:vAlign w:val="top"/>
          </w:tcPr>
          <w:p>
            <w:pPr>
              <w:jc w:val="left"/>
            </w:pPr>
            <w:r>
              <w:rPr>
                <w:rFonts w:ascii="Arial" w:hAnsi="Arial"/>
                <w:b w:val="0"/>
                <w:i w:val="0"/>
                <w:sz w:val="18"/>
              </w:rPr>
              <w:t>Other Assets</w:t>
            </w:r>
          </w:p>
        </w:tc>
        <w:tc>
          <w:tcPr>
            <w:tcW w:type="dxa" w:w="2268"/>
            <w:vAlign w:val="top"/>
          </w:tcPr>
          <w:p>
            <w:pPr>
              <w:jc w:val="left"/>
            </w:pPr>
            <w:r>
              <w:rPr>
                <w:rFonts w:ascii="Arial" w:hAnsi="Arial"/>
                <w:b w:val="0"/>
                <w:i w:val="0"/>
                <w:sz w:val="18"/>
              </w:rPr>
              <w:t>[XX]</w:t>
            </w:r>
          </w:p>
        </w:tc>
        <w:tc>
          <w:tcPr>
            <w:tcW w:type="dxa" w:w="2268"/>
            <w:vAlign w:val="top"/>
          </w:tcPr>
          <w:p>
            <w:pPr>
              <w:jc w:val="left"/>
            </w:pPr>
            <w:r>
              <w:rPr>
                <w:rFonts w:ascii="Arial" w:hAnsi="Arial"/>
                <w:b w:val="0"/>
                <w:i w:val="0"/>
                <w:sz w:val="18"/>
              </w:rPr>
              <w:t>100%</w:t>
            </w:r>
          </w:p>
        </w:tc>
        <w:tc>
          <w:tcPr>
            <w:tcW w:type="dxa" w:w="2835"/>
            <w:vAlign w:val="top"/>
          </w:tcPr>
          <w:p>
            <w:pPr>
              <w:jc w:val="left"/>
            </w:pPr>
            <w:r>
              <w:rPr>
                <w:rFonts w:ascii="Arial" w:hAnsi="Arial"/>
                <w:b w:val="0"/>
                <w:i w:val="0"/>
                <w:sz w:val="18"/>
              </w:rPr>
              <w:t>[XX]</w:t>
            </w:r>
          </w:p>
        </w:tc>
      </w:tr>
      <w:tr>
        <w:tc>
          <w:tcPr>
            <w:tcW w:type="dxa" w:w="3969"/>
            <w:vAlign w:val="top"/>
            <w:shd w:val="clear" w:color="auto" w:fill="EBF3FB"/>
          </w:tcPr>
          <w:p>
            <w:pPr>
              <w:jc w:val="left"/>
            </w:pPr>
            <w:r>
              <w:rPr>
                <w:rFonts w:ascii="Arial" w:hAnsi="Arial"/>
                <w:b w:val="0"/>
                <w:i w:val="0"/>
                <w:sz w:val="18"/>
              </w:rPr>
              <w:t>TOTAL RWA</w:t>
            </w:r>
          </w:p>
        </w:tc>
        <w:tc>
          <w:tcPr>
            <w:tcW w:type="dxa" w:w="2268"/>
            <w:vAlign w:val="top"/>
            <w:shd w:val="clear" w:color="auto" w:fill="EBF3FB"/>
          </w:tcPr>
          <w:p>
            <w:pPr>
              <w:jc w:val="left"/>
            </w:pPr>
            <w:r>
              <w:rPr>
                <w:rFonts w:ascii="Arial" w:hAnsi="Arial"/>
                <w:b w:val="0"/>
                <w:i w:val="0"/>
                <w:sz w:val="18"/>
              </w:rPr>
            </w:r>
          </w:p>
        </w:tc>
        <w:tc>
          <w:tcPr>
            <w:tcW w:type="dxa" w:w="2268"/>
            <w:vAlign w:val="top"/>
            <w:shd w:val="clear" w:color="auto" w:fill="EBF3FB"/>
          </w:tcPr>
          <w:p>
            <w:pPr>
              <w:jc w:val="left"/>
            </w:pPr>
            <w:r>
              <w:rPr>
                <w:rFonts w:ascii="Arial" w:hAnsi="Arial"/>
                <w:b w:val="0"/>
                <w:i w:val="0"/>
                <w:sz w:val="18"/>
              </w:rPr>
            </w:r>
          </w:p>
        </w:tc>
        <w:tc>
          <w:tcPr>
            <w:tcW w:type="dxa" w:w="2835"/>
            <w:vAlign w:val="top"/>
            <w:shd w:val="clear" w:color="auto" w:fill="EBF3FB"/>
          </w:tcPr>
          <w:p>
            <w:pPr>
              <w:jc w:val="left"/>
            </w:pPr>
            <w:r>
              <w:rPr>
                <w:rFonts w:ascii="Arial" w:hAnsi="Arial"/>
                <w:b w:val="0"/>
                <w:i w:val="0"/>
                <w:sz w:val="18"/>
              </w:rPr>
              <w:t>[XX]</w:t>
            </w:r>
          </w:p>
        </w:tc>
      </w:tr>
    </w:tbl>
    <w:p/>
    <w:p>
      <w:pPr>
        <w:spacing w:before="160" w:after="80"/>
      </w:pPr>
      <w:r>
        <w:rPr>
          <w:rFonts w:ascii="Arial" w:hAnsi="Arial"/>
          <w:b/>
          <w:i w:val="0"/>
          <w:sz w:val="24"/>
        </w:rPr>
        <w:t>III. CRAR Computation</w:t>
      </w:r>
    </w:p>
    <w:tbl>
      <w:tblPr>
        <w:tblStyle w:val="TableGrid"/>
        <w:tblW w:type="auto" w:w="0"/>
        <w:tblLook w:firstColumn="1" w:firstRow="1" w:lastColumn="0" w:lastRow="0" w:noHBand="0" w:noVBand="1" w:val="04A0"/>
      </w:tblPr>
      <w:tblGrid>
        <w:gridCol w:w="4857"/>
        <w:gridCol w:w="4857"/>
        <w:gridCol w:w="4857"/>
      </w:tblGrid>
      <w:tr>
        <w:tc>
          <w:tcPr>
            <w:tcW w:type="dxa" w:w="3969"/>
            <w:vAlign w:val="top"/>
            <w:shd w:val="clear" w:color="auto" w:fill="1F4E79"/>
          </w:tcPr>
          <w:p>
            <w:pPr>
              <w:jc w:val="center"/>
            </w:pPr>
            <w:r>
              <w:rPr>
                <w:rFonts w:ascii="Arial" w:hAnsi="Arial"/>
                <w:b/>
                <w:i w:val="0"/>
                <w:color w:val="FFFFFF"/>
                <w:sz w:val="18"/>
              </w:rPr>
              <w:t>Ratio</w:t>
            </w:r>
          </w:p>
        </w:tc>
        <w:tc>
          <w:tcPr>
            <w:tcW w:type="dxa" w:w="2835"/>
            <w:vAlign w:val="top"/>
            <w:shd w:val="clear" w:color="auto" w:fill="1F4E79"/>
          </w:tcPr>
          <w:p>
            <w:pPr>
              <w:jc w:val="center"/>
            </w:pPr>
            <w:r>
              <w:rPr>
                <w:rFonts w:ascii="Arial" w:hAnsi="Arial"/>
                <w:b/>
                <w:i w:val="0"/>
                <w:color w:val="FFFFFF"/>
                <w:sz w:val="18"/>
              </w:rPr>
              <w:t>Computed Value</w:t>
            </w:r>
          </w:p>
        </w:tc>
        <w:tc>
          <w:tcPr>
            <w:tcW w:type="dxa" w:w="4535"/>
            <w:vAlign w:val="top"/>
            <w:shd w:val="clear" w:color="auto" w:fill="1F4E79"/>
          </w:tcPr>
          <w:p>
            <w:pPr>
              <w:jc w:val="center"/>
            </w:pPr>
            <w:r>
              <w:rPr>
                <w:rFonts w:ascii="Arial" w:hAnsi="Arial"/>
                <w:b/>
                <w:i w:val="0"/>
                <w:color w:val="FFFFFF"/>
                <w:sz w:val="18"/>
              </w:rPr>
              <w:t>Minimum Required</w:t>
            </w:r>
          </w:p>
        </w:tc>
      </w:tr>
      <w:tr>
        <w:tc>
          <w:tcPr>
            <w:tcW w:type="dxa" w:w="3969"/>
            <w:vAlign w:val="top"/>
          </w:tcPr>
          <w:p>
            <w:pPr>
              <w:jc w:val="left"/>
            </w:pPr>
            <w:r>
              <w:rPr>
                <w:rFonts w:ascii="Arial" w:hAnsi="Arial"/>
                <w:b w:val="0"/>
                <w:i w:val="0"/>
                <w:sz w:val="18"/>
              </w:rPr>
              <w:t>Tier 1 Capital Ratio (Tier 1 / RWA)</w:t>
            </w:r>
          </w:p>
        </w:tc>
        <w:tc>
          <w:tcPr>
            <w:tcW w:type="dxa" w:w="2835"/>
            <w:vAlign w:val="top"/>
          </w:tcPr>
          <w:p>
            <w:pPr>
              <w:jc w:val="left"/>
            </w:pPr>
            <w:r>
              <w:rPr>
                <w:rFonts w:ascii="Arial" w:hAnsi="Arial"/>
                <w:b w:val="0"/>
                <w:i w:val="0"/>
                <w:sz w:val="18"/>
              </w:rPr>
              <w:t>[XX.XX]%</w:t>
            </w:r>
          </w:p>
        </w:tc>
        <w:tc>
          <w:tcPr>
            <w:tcW w:type="dxa" w:w="4535"/>
            <w:vAlign w:val="top"/>
          </w:tcPr>
          <w:p>
            <w:pPr>
              <w:jc w:val="left"/>
            </w:pPr>
            <w:r>
              <w:rPr>
                <w:rFonts w:ascii="Arial" w:hAnsi="Arial"/>
                <w:b w:val="0"/>
                <w:i w:val="0"/>
                <w:sz w:val="18"/>
              </w:rPr>
              <w:t>10% (Base Layer) / 10% (Middle Layer)</w:t>
            </w:r>
          </w:p>
        </w:tc>
      </w:tr>
      <w:tr>
        <w:tc>
          <w:tcPr>
            <w:tcW w:type="dxa" w:w="3969"/>
            <w:vAlign w:val="top"/>
            <w:shd w:val="clear" w:color="auto" w:fill="EBF3FB"/>
          </w:tcPr>
          <w:p>
            <w:pPr>
              <w:jc w:val="left"/>
            </w:pPr>
            <w:r>
              <w:rPr>
                <w:rFonts w:ascii="Arial" w:hAnsi="Arial"/>
                <w:b w:val="0"/>
                <w:i w:val="0"/>
                <w:sz w:val="18"/>
              </w:rPr>
              <w:t>Total CRAR (Capital Funds / RWA)</w:t>
            </w:r>
          </w:p>
        </w:tc>
        <w:tc>
          <w:tcPr>
            <w:tcW w:type="dxa" w:w="2835"/>
            <w:vAlign w:val="top"/>
            <w:shd w:val="clear" w:color="auto" w:fill="EBF3FB"/>
          </w:tcPr>
          <w:p>
            <w:pPr>
              <w:jc w:val="left"/>
            </w:pPr>
            <w:r>
              <w:rPr>
                <w:rFonts w:ascii="Arial" w:hAnsi="Arial"/>
                <w:b w:val="0"/>
                <w:i w:val="0"/>
                <w:sz w:val="18"/>
              </w:rPr>
              <w:t>[XX.XX]%</w:t>
            </w:r>
          </w:p>
        </w:tc>
        <w:tc>
          <w:tcPr>
            <w:tcW w:type="dxa" w:w="4535"/>
            <w:vAlign w:val="top"/>
            <w:shd w:val="clear" w:color="auto" w:fill="EBF3FB"/>
          </w:tcPr>
          <w:p>
            <w:pPr>
              <w:jc w:val="left"/>
            </w:pPr>
            <w:r>
              <w:rPr>
                <w:rFonts w:ascii="Arial" w:hAnsi="Arial"/>
                <w:b w:val="0"/>
                <w:i w:val="0"/>
                <w:sz w:val="18"/>
              </w:rPr>
              <w:t>15% (Base &amp; Middle Layer) / 25% (Top Layer — Upper/ND-SI-AFC)</w:t>
            </w:r>
          </w:p>
        </w:tc>
      </w:tr>
    </w:tbl>
    <w:p/>
    <w:p>
      <w:pPr>
        <w:spacing w:before="160" w:after="80"/>
      </w:pPr>
      <w:r>
        <w:rPr>
          <w:rFonts w:ascii="Arial" w:hAnsi="Arial"/>
          <w:b/>
          <w:i w:val="0"/>
          <w:sz w:val="24"/>
        </w:rPr>
        <w:t>IV. Certification</w:t>
      </w:r>
    </w:p>
    <w:p>
      <w:pPr>
        <w:spacing w:before="80" w:after="80"/>
        <w:jc w:val="left"/>
      </w:pPr>
      <w:r>
        <w:rPr>
          <w:rFonts w:ascii="Arial" w:hAnsi="Arial"/>
          <w:b w:val="0"/>
          <w:i w:val="0"/>
          <w:sz w:val="20"/>
        </w:rPr>
        <w:t>Based on our review, we certify that the CRAR of [Name of the NBFC] as at 31st March 20XX is [XX.XX]%, which [meets / does not meet] the minimum required CRAR of [15% / 25%] as applicable to the Company's regulatory tier.</w:t>
      </w:r>
    </w:p>
    <w:p>
      <w:pPr>
        <w:spacing w:before="80" w:after="80"/>
        <w:jc w:val="left"/>
      </w:pPr>
      <w:r>
        <w:rPr>
          <w:rFonts w:ascii="Arial" w:hAnsi="Arial"/>
          <w:b w:val="0"/>
          <w:i/>
          <w:sz w:val="18"/>
        </w:rPr>
        <w:t>This certificate is issued for submission to the Reserve Bank of India and the Board of Directors and is based on the audited financial statements for the year ended 31st March 20XX.</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CRAR Certificate — NBFCs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93DC82-B572-4AB6-92AB-079FE12E32E4}"/>
</file>

<file path=customXml/itemProps3.xml><?xml version="1.0" encoding="utf-8"?>
<ds:datastoreItem xmlns:ds="http://schemas.openxmlformats.org/officeDocument/2006/customXml" ds:itemID="{02670A0E-D6E4-46BA-8E7F-98DA231E106D}"/>
</file>

<file path=customXml/itemProps4.xml><?xml version="1.0" encoding="utf-8"?>
<ds:datastoreItem xmlns:ds="http://schemas.openxmlformats.org/officeDocument/2006/customXml" ds:itemID="{DB2B553C-910E-492B-8702-7136AA81F6D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