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Arial" w:hAnsi="Arial"/>
          <w:b/>
          <w:i w:val="0"/>
          <w:sz w:val="24"/>
        </w:rPr>
        <w:t>FORM 3CD — STATEMENT OF PARTICULARS REQUIRED UNDER SECTION 44AB</w:t>
      </w:r>
    </w:p>
    <w:p>
      <w:pPr>
        <w:spacing w:before="80" w:after="80"/>
        <w:jc w:val="center"/>
      </w:pPr>
      <w:r>
        <w:rPr>
          <w:rFonts w:ascii="Arial" w:hAnsi="Arial"/>
          <w:b w:val="0"/>
          <w:i/>
          <w:sz w:val="20"/>
        </w:rPr>
        <w:t>[NBFC — For use with Form 3CB / 3CA as applicable]</w:t>
      </w:r>
    </w:p>
    <w:p>
      <w:pPr>
        <w:spacing w:before="40" w:after="40"/>
        <w:pBdr>
          <w:bottom w:val="single" w:sz="6" w:space="1" w:color="1F4E79"/>
        </w:pBdr>
      </w:pPr>
    </w:p>
    <w:p/>
    <w:tbl>
      <w:tblPr>
        <w:tblStyle w:val="TableGrid"/>
        <w:tblW w:type="auto" w:w="0"/>
        <w:tblLook w:firstColumn="1" w:firstRow="1" w:lastColumn="0" w:lastRow="0" w:noHBand="0" w:noVBand="1" w:val="04A0"/>
      </w:tblPr>
      <w:tblGrid>
        <w:gridCol w:w="4857"/>
        <w:gridCol w:w="4857"/>
        <w:gridCol w:w="4857"/>
      </w:tblGrid>
      <w:tr>
        <w:tc>
          <w:tcPr>
            <w:tcW w:type="dxa" w:w="850"/>
            <w:vAlign w:val="top"/>
            <w:shd w:val="clear" w:color="auto" w:fill="1F4E79"/>
          </w:tcPr>
          <w:p>
            <w:pPr>
              <w:jc w:val="center"/>
            </w:pPr>
            <w:r>
              <w:rPr>
                <w:rFonts w:ascii="Arial" w:hAnsi="Arial"/>
                <w:b/>
                <w:i w:val="0"/>
                <w:color w:val="FFFFFF"/>
                <w:sz w:val="18"/>
              </w:rPr>
              <w:t>Clause</w:t>
            </w:r>
          </w:p>
        </w:tc>
        <w:tc>
          <w:tcPr>
            <w:tcW w:type="dxa" w:w="3969"/>
            <w:vAlign w:val="top"/>
            <w:shd w:val="clear" w:color="auto" w:fill="1F4E79"/>
          </w:tcPr>
          <w:p>
            <w:pPr>
              <w:jc w:val="center"/>
            </w:pPr>
            <w:r>
              <w:rPr>
                <w:rFonts w:ascii="Arial" w:hAnsi="Arial"/>
                <w:b/>
                <w:i w:val="0"/>
                <w:color w:val="FFFFFF"/>
                <w:sz w:val="18"/>
              </w:rPr>
              <w:t>Particulars</w:t>
            </w:r>
          </w:p>
        </w:tc>
        <w:tc>
          <w:tcPr>
            <w:tcW w:type="dxa" w:w="6520"/>
            <w:vAlign w:val="top"/>
            <w:shd w:val="clear" w:color="auto" w:fill="1F4E79"/>
          </w:tcPr>
          <w:p>
            <w:pPr>
              <w:jc w:val="center"/>
            </w:pPr>
            <w:r>
              <w:rPr>
                <w:rFonts w:ascii="Arial" w:hAnsi="Arial"/>
                <w:b/>
                <w:i w:val="0"/>
                <w:color w:val="FFFFFF"/>
                <w:sz w:val="18"/>
              </w:rPr>
              <w:t>Response / Details</w:t>
            </w:r>
          </w:p>
        </w:tc>
      </w:tr>
      <w:tr>
        <w:tc>
          <w:tcPr>
            <w:tcW w:type="dxa" w:w="850"/>
            <w:vAlign w:val="top"/>
          </w:tcPr>
          <w:p>
            <w:pPr>
              <w:jc w:val="left"/>
            </w:pPr>
            <w:r>
              <w:rPr>
                <w:rFonts w:ascii="Arial" w:hAnsi="Arial"/>
                <w:b w:val="0"/>
                <w:i w:val="0"/>
                <w:sz w:val="18"/>
              </w:rPr>
              <w:t>1</w:t>
            </w:r>
          </w:p>
        </w:tc>
        <w:tc>
          <w:tcPr>
            <w:tcW w:type="dxa" w:w="3969"/>
            <w:vAlign w:val="top"/>
          </w:tcPr>
          <w:p>
            <w:pPr>
              <w:jc w:val="left"/>
            </w:pPr>
            <w:r>
              <w:rPr>
                <w:rFonts w:ascii="Arial" w:hAnsi="Arial"/>
                <w:b w:val="0"/>
                <w:i w:val="0"/>
                <w:sz w:val="18"/>
              </w:rPr>
              <w:t>Name of the assessee</w:t>
            </w:r>
          </w:p>
        </w:tc>
        <w:tc>
          <w:tcPr>
            <w:tcW w:type="dxa" w:w="6520"/>
            <w:vAlign w:val="top"/>
          </w:tcPr>
          <w:p>
            <w:pPr>
              <w:jc w:val="left"/>
            </w:pPr>
            <w:r>
              <w:rPr>
                <w:rFonts w:ascii="Arial" w:hAnsi="Arial"/>
                <w:b w:val="0"/>
                <w:i w:val="0"/>
                <w:sz w:val="18"/>
              </w:rPr>
              <w:t>[Name of the NBFC]</w:t>
            </w:r>
          </w:p>
        </w:tc>
      </w:tr>
      <w:tr>
        <w:tc>
          <w:tcPr>
            <w:tcW w:type="dxa" w:w="850"/>
            <w:vAlign w:val="top"/>
            <w:shd w:val="clear" w:color="auto" w:fill="EBF3FB"/>
          </w:tcPr>
          <w:p>
            <w:pPr>
              <w:jc w:val="left"/>
            </w:pPr>
            <w:r>
              <w:rPr>
                <w:rFonts w:ascii="Arial" w:hAnsi="Arial"/>
                <w:b w:val="0"/>
                <w:i w:val="0"/>
                <w:sz w:val="18"/>
              </w:rPr>
              <w:t>2</w:t>
            </w:r>
          </w:p>
        </w:tc>
        <w:tc>
          <w:tcPr>
            <w:tcW w:type="dxa" w:w="3969"/>
            <w:vAlign w:val="top"/>
            <w:shd w:val="clear" w:color="auto" w:fill="EBF3FB"/>
          </w:tcPr>
          <w:p>
            <w:pPr>
              <w:jc w:val="left"/>
            </w:pPr>
            <w:r>
              <w:rPr>
                <w:rFonts w:ascii="Arial" w:hAnsi="Arial"/>
                <w:b w:val="0"/>
                <w:i w:val="0"/>
                <w:sz w:val="18"/>
              </w:rPr>
              <w:t>Address</w:t>
            </w:r>
          </w:p>
        </w:tc>
        <w:tc>
          <w:tcPr>
            <w:tcW w:type="dxa" w:w="6520"/>
            <w:vAlign w:val="top"/>
            <w:shd w:val="clear" w:color="auto" w:fill="EBF3FB"/>
          </w:tcPr>
          <w:p>
            <w:pPr>
              <w:jc w:val="left"/>
            </w:pPr>
            <w:r>
              <w:rPr>
                <w:rFonts w:ascii="Arial" w:hAnsi="Arial"/>
                <w:b w:val="0"/>
                <w:i w:val="0"/>
                <w:sz w:val="18"/>
              </w:rPr>
              <w:t>[Registered Office Address]</w:t>
            </w:r>
          </w:p>
        </w:tc>
      </w:tr>
      <w:tr>
        <w:tc>
          <w:tcPr>
            <w:tcW w:type="dxa" w:w="850"/>
            <w:vAlign w:val="top"/>
          </w:tcPr>
          <w:p>
            <w:pPr>
              <w:jc w:val="left"/>
            </w:pPr>
            <w:r>
              <w:rPr>
                <w:rFonts w:ascii="Arial" w:hAnsi="Arial"/>
                <w:b w:val="0"/>
                <w:i w:val="0"/>
                <w:sz w:val="18"/>
              </w:rPr>
              <w:t>3</w:t>
            </w:r>
          </w:p>
        </w:tc>
        <w:tc>
          <w:tcPr>
            <w:tcW w:type="dxa" w:w="3969"/>
            <w:vAlign w:val="top"/>
          </w:tcPr>
          <w:p>
            <w:pPr>
              <w:jc w:val="left"/>
            </w:pPr>
            <w:r>
              <w:rPr>
                <w:rFonts w:ascii="Arial" w:hAnsi="Arial"/>
                <w:b w:val="0"/>
                <w:i w:val="0"/>
                <w:sz w:val="18"/>
              </w:rPr>
              <w:t>PAN</w:t>
            </w:r>
          </w:p>
        </w:tc>
        <w:tc>
          <w:tcPr>
            <w:tcW w:type="dxa" w:w="6520"/>
            <w:vAlign w:val="top"/>
          </w:tcPr>
          <w:p>
            <w:pPr>
              <w:jc w:val="left"/>
            </w:pPr>
            <w:r>
              <w:rPr>
                <w:rFonts w:ascii="Arial" w:hAnsi="Arial"/>
                <w:b w:val="0"/>
                <w:i w:val="0"/>
                <w:sz w:val="18"/>
              </w:rPr>
              <w:t>[XXXXXXXXXX]</w:t>
            </w:r>
          </w:p>
        </w:tc>
      </w:tr>
      <w:tr>
        <w:tc>
          <w:tcPr>
            <w:tcW w:type="dxa" w:w="850"/>
            <w:vAlign w:val="top"/>
            <w:shd w:val="clear" w:color="auto" w:fill="EBF3FB"/>
          </w:tcPr>
          <w:p>
            <w:pPr>
              <w:jc w:val="left"/>
            </w:pPr>
            <w:r>
              <w:rPr>
                <w:rFonts w:ascii="Arial" w:hAnsi="Arial"/>
                <w:b w:val="0"/>
                <w:i w:val="0"/>
                <w:sz w:val="18"/>
              </w:rPr>
              <w:t>4</w:t>
            </w:r>
          </w:p>
        </w:tc>
        <w:tc>
          <w:tcPr>
            <w:tcW w:type="dxa" w:w="3969"/>
            <w:vAlign w:val="top"/>
            <w:shd w:val="clear" w:color="auto" w:fill="EBF3FB"/>
          </w:tcPr>
          <w:p>
            <w:pPr>
              <w:jc w:val="left"/>
            </w:pPr>
            <w:r>
              <w:rPr>
                <w:rFonts w:ascii="Arial" w:hAnsi="Arial"/>
                <w:b w:val="0"/>
                <w:i w:val="0"/>
                <w:sz w:val="18"/>
              </w:rPr>
              <w:t>GST Registration No.</w:t>
            </w:r>
          </w:p>
        </w:tc>
        <w:tc>
          <w:tcPr>
            <w:tcW w:type="dxa" w:w="6520"/>
            <w:vAlign w:val="top"/>
            <w:shd w:val="clear" w:color="auto" w:fill="EBF3FB"/>
          </w:tcPr>
          <w:p>
            <w:pPr>
              <w:jc w:val="left"/>
            </w:pPr>
            <w:r>
              <w:rPr>
                <w:rFonts w:ascii="Arial" w:hAnsi="Arial"/>
                <w:b w:val="0"/>
                <w:i w:val="0"/>
                <w:sz w:val="18"/>
              </w:rPr>
              <w:t>[XX-XXXXXXXX-X-X-X / Exempt if below threshold]</w:t>
            </w:r>
          </w:p>
        </w:tc>
      </w:tr>
      <w:tr>
        <w:tc>
          <w:tcPr>
            <w:tcW w:type="dxa" w:w="850"/>
            <w:vAlign w:val="top"/>
          </w:tcPr>
          <w:p>
            <w:pPr>
              <w:jc w:val="left"/>
            </w:pPr>
            <w:r>
              <w:rPr>
                <w:rFonts w:ascii="Arial" w:hAnsi="Arial"/>
                <w:b w:val="0"/>
                <w:i w:val="0"/>
                <w:sz w:val="18"/>
              </w:rPr>
              <w:t>5</w:t>
            </w:r>
          </w:p>
        </w:tc>
        <w:tc>
          <w:tcPr>
            <w:tcW w:type="dxa" w:w="3969"/>
            <w:vAlign w:val="top"/>
          </w:tcPr>
          <w:p>
            <w:pPr>
              <w:jc w:val="left"/>
            </w:pPr>
            <w:r>
              <w:rPr>
                <w:rFonts w:ascii="Arial" w:hAnsi="Arial"/>
                <w:b w:val="0"/>
                <w:i w:val="0"/>
                <w:sz w:val="18"/>
              </w:rPr>
              <w:t>Name of person responsible for accounts</w:t>
            </w:r>
          </w:p>
        </w:tc>
        <w:tc>
          <w:tcPr>
            <w:tcW w:type="dxa" w:w="6520"/>
            <w:vAlign w:val="top"/>
          </w:tcPr>
          <w:p>
            <w:pPr>
              <w:jc w:val="left"/>
            </w:pPr>
            <w:r>
              <w:rPr>
                <w:rFonts w:ascii="Arial" w:hAnsi="Arial"/>
                <w:b w:val="0"/>
                <w:i w:val="0"/>
                <w:sz w:val="18"/>
              </w:rPr>
              <w:t>[Name], [Designation]</w:t>
            </w:r>
          </w:p>
        </w:tc>
      </w:tr>
      <w:tr>
        <w:tc>
          <w:tcPr>
            <w:tcW w:type="dxa" w:w="850"/>
            <w:vAlign w:val="top"/>
            <w:shd w:val="clear" w:color="auto" w:fill="EBF3FB"/>
          </w:tcPr>
          <w:p>
            <w:pPr>
              <w:jc w:val="left"/>
            </w:pPr>
            <w:r>
              <w:rPr>
                <w:rFonts w:ascii="Arial" w:hAnsi="Arial"/>
                <w:b w:val="0"/>
                <w:i w:val="0"/>
                <w:sz w:val="18"/>
              </w:rPr>
              <w:t>6</w:t>
            </w:r>
          </w:p>
        </w:tc>
        <w:tc>
          <w:tcPr>
            <w:tcW w:type="dxa" w:w="3969"/>
            <w:vAlign w:val="top"/>
            <w:shd w:val="clear" w:color="auto" w:fill="EBF3FB"/>
          </w:tcPr>
          <w:p>
            <w:pPr>
              <w:jc w:val="left"/>
            </w:pPr>
            <w:r>
              <w:rPr>
                <w:rFonts w:ascii="Arial" w:hAnsi="Arial"/>
                <w:b w:val="0"/>
                <w:i w:val="0"/>
                <w:sz w:val="18"/>
              </w:rPr>
              <w:t>Previous year (From / To)</w:t>
            </w:r>
          </w:p>
        </w:tc>
        <w:tc>
          <w:tcPr>
            <w:tcW w:type="dxa" w:w="6520"/>
            <w:vAlign w:val="top"/>
            <w:shd w:val="clear" w:color="auto" w:fill="EBF3FB"/>
          </w:tcPr>
          <w:p>
            <w:pPr>
              <w:jc w:val="left"/>
            </w:pPr>
            <w:r>
              <w:rPr>
                <w:rFonts w:ascii="Arial" w:hAnsi="Arial"/>
                <w:b w:val="0"/>
                <w:i w:val="0"/>
                <w:sz w:val="18"/>
              </w:rPr>
              <w:t>01.04.20XX to 31.03.20XX</w:t>
            </w:r>
          </w:p>
        </w:tc>
      </w:tr>
      <w:tr>
        <w:tc>
          <w:tcPr>
            <w:tcW w:type="dxa" w:w="850"/>
            <w:vAlign w:val="top"/>
          </w:tcPr>
          <w:p>
            <w:pPr>
              <w:jc w:val="left"/>
            </w:pPr>
            <w:r>
              <w:rPr>
                <w:rFonts w:ascii="Arial" w:hAnsi="Arial"/>
                <w:b w:val="0"/>
                <w:i w:val="0"/>
                <w:sz w:val="18"/>
              </w:rPr>
              <w:t>7</w:t>
            </w:r>
          </w:p>
        </w:tc>
        <w:tc>
          <w:tcPr>
            <w:tcW w:type="dxa" w:w="3969"/>
            <w:vAlign w:val="top"/>
          </w:tcPr>
          <w:p>
            <w:pPr>
              <w:jc w:val="left"/>
            </w:pPr>
            <w:r>
              <w:rPr>
                <w:rFonts w:ascii="Arial" w:hAnsi="Arial"/>
                <w:b w:val="0"/>
                <w:i w:val="0"/>
                <w:sz w:val="18"/>
              </w:rPr>
              <w:t>Assessment Year</w:t>
            </w:r>
          </w:p>
        </w:tc>
        <w:tc>
          <w:tcPr>
            <w:tcW w:type="dxa" w:w="6520"/>
            <w:vAlign w:val="top"/>
          </w:tcPr>
          <w:p>
            <w:pPr>
              <w:jc w:val="left"/>
            </w:pPr>
            <w:r>
              <w:rPr>
                <w:rFonts w:ascii="Arial" w:hAnsi="Arial"/>
                <w:b w:val="0"/>
                <w:i w:val="0"/>
                <w:sz w:val="18"/>
              </w:rPr>
              <w:t>20XX-20XX</w:t>
            </w:r>
          </w:p>
        </w:tc>
      </w:tr>
      <w:tr>
        <w:tc>
          <w:tcPr>
            <w:tcW w:type="dxa" w:w="850"/>
            <w:vAlign w:val="top"/>
            <w:shd w:val="clear" w:color="auto" w:fill="EBF3FB"/>
          </w:tcPr>
          <w:p>
            <w:pPr>
              <w:jc w:val="left"/>
            </w:pPr>
            <w:r>
              <w:rPr>
                <w:rFonts w:ascii="Arial" w:hAnsi="Arial"/>
                <w:b w:val="0"/>
                <w:i w:val="0"/>
                <w:sz w:val="18"/>
              </w:rPr>
              <w:t>8</w:t>
            </w:r>
          </w:p>
        </w:tc>
        <w:tc>
          <w:tcPr>
            <w:tcW w:type="dxa" w:w="3969"/>
            <w:vAlign w:val="top"/>
            <w:shd w:val="clear" w:color="auto" w:fill="EBF3FB"/>
          </w:tcPr>
          <w:p>
            <w:pPr>
              <w:jc w:val="left"/>
            </w:pPr>
            <w:r>
              <w:rPr>
                <w:rFonts w:ascii="Arial" w:hAnsi="Arial"/>
                <w:b w:val="0"/>
                <w:i w:val="0"/>
                <w:sz w:val="18"/>
              </w:rPr>
              <w:t>Clause of Section 44AB</w:t>
            </w:r>
          </w:p>
        </w:tc>
        <w:tc>
          <w:tcPr>
            <w:tcW w:type="dxa" w:w="6520"/>
            <w:vAlign w:val="top"/>
            <w:shd w:val="clear" w:color="auto" w:fill="EBF3FB"/>
          </w:tcPr>
          <w:p>
            <w:pPr>
              <w:jc w:val="left"/>
            </w:pPr>
            <w:r>
              <w:rPr>
                <w:rFonts w:ascii="Arial" w:hAnsi="Arial"/>
                <w:b w:val="0"/>
                <w:i w:val="0"/>
                <w:sz w:val="18"/>
              </w:rPr>
              <w:t>[Clause (a) — Turnover &gt; ₹1 crore / Clause (b) — as applicable]</w:t>
            </w:r>
          </w:p>
        </w:tc>
      </w:tr>
      <w:tr>
        <w:tc>
          <w:tcPr>
            <w:tcW w:type="dxa" w:w="850"/>
            <w:vAlign w:val="top"/>
          </w:tcPr>
          <w:p>
            <w:pPr>
              <w:jc w:val="left"/>
            </w:pPr>
            <w:r>
              <w:rPr>
                <w:rFonts w:ascii="Arial" w:hAnsi="Arial"/>
                <w:b w:val="0"/>
                <w:i w:val="0"/>
                <w:sz w:val="18"/>
              </w:rPr>
              <w:t>9</w:t>
            </w:r>
          </w:p>
        </w:tc>
        <w:tc>
          <w:tcPr>
            <w:tcW w:type="dxa" w:w="3969"/>
            <w:vAlign w:val="top"/>
          </w:tcPr>
          <w:p>
            <w:pPr>
              <w:jc w:val="left"/>
            </w:pPr>
            <w:r>
              <w:rPr>
                <w:rFonts w:ascii="Arial" w:hAnsi="Arial"/>
                <w:b w:val="0"/>
                <w:i w:val="0"/>
                <w:sz w:val="18"/>
              </w:rPr>
              <w:t>Nature of business</w:t>
            </w:r>
          </w:p>
        </w:tc>
        <w:tc>
          <w:tcPr>
            <w:tcW w:type="dxa" w:w="6520"/>
            <w:vAlign w:val="top"/>
          </w:tcPr>
          <w:p>
            <w:pPr>
              <w:jc w:val="left"/>
            </w:pPr>
            <w:r>
              <w:rPr>
                <w:rFonts w:ascii="Arial" w:hAnsi="Arial"/>
                <w:b w:val="0"/>
                <w:i w:val="0"/>
                <w:sz w:val="18"/>
              </w:rPr>
              <w:t>NBFC — Financial Services — Lending</w:t>
            </w:r>
          </w:p>
        </w:tc>
      </w:tr>
      <w:tr>
        <w:tc>
          <w:tcPr>
            <w:tcW w:type="dxa" w:w="850"/>
            <w:vAlign w:val="top"/>
            <w:shd w:val="clear" w:color="auto" w:fill="EBF3FB"/>
          </w:tcPr>
          <w:p>
            <w:pPr>
              <w:jc w:val="left"/>
            </w:pPr>
            <w:r>
              <w:rPr>
                <w:rFonts w:ascii="Arial" w:hAnsi="Arial"/>
                <w:b w:val="0"/>
                <w:i w:val="0"/>
                <w:sz w:val="18"/>
              </w:rPr>
              <w:t>10</w:t>
            </w:r>
          </w:p>
        </w:tc>
        <w:tc>
          <w:tcPr>
            <w:tcW w:type="dxa" w:w="3969"/>
            <w:vAlign w:val="top"/>
            <w:shd w:val="clear" w:color="auto" w:fill="EBF3FB"/>
          </w:tcPr>
          <w:p>
            <w:pPr>
              <w:jc w:val="left"/>
            </w:pPr>
            <w:r>
              <w:rPr>
                <w:rFonts w:ascii="Arial" w:hAnsi="Arial"/>
                <w:b w:val="0"/>
                <w:i w:val="0"/>
                <w:sz w:val="18"/>
              </w:rPr>
              <w:t>Books of account prescribed under Section 44AA</w:t>
            </w:r>
          </w:p>
        </w:tc>
        <w:tc>
          <w:tcPr>
            <w:tcW w:type="dxa" w:w="6520"/>
            <w:vAlign w:val="top"/>
            <w:shd w:val="clear" w:color="auto" w:fill="EBF3FB"/>
          </w:tcPr>
          <w:p>
            <w:pPr>
              <w:jc w:val="left"/>
            </w:pPr>
            <w:r>
              <w:rPr>
                <w:rFonts w:ascii="Arial" w:hAnsi="Arial"/>
                <w:b w:val="0"/>
                <w:i w:val="0"/>
                <w:sz w:val="18"/>
              </w:rPr>
              <w:t>Yes — Cash Book, Ledger, Loan Portfolio System Reports</w:t>
            </w:r>
          </w:p>
        </w:tc>
      </w:tr>
      <w:tr>
        <w:tc>
          <w:tcPr>
            <w:tcW w:type="dxa" w:w="850"/>
            <w:vAlign w:val="top"/>
          </w:tcPr>
          <w:p>
            <w:pPr>
              <w:jc w:val="left"/>
            </w:pPr>
            <w:r>
              <w:rPr>
                <w:rFonts w:ascii="Arial" w:hAnsi="Arial"/>
                <w:b w:val="0"/>
                <w:i w:val="0"/>
                <w:sz w:val="18"/>
              </w:rPr>
              <w:t>11</w:t>
            </w:r>
          </w:p>
        </w:tc>
        <w:tc>
          <w:tcPr>
            <w:tcW w:type="dxa" w:w="3969"/>
            <w:vAlign w:val="top"/>
          </w:tcPr>
          <w:p>
            <w:pPr>
              <w:jc w:val="left"/>
            </w:pPr>
            <w:r>
              <w:rPr>
                <w:rFonts w:ascii="Arial" w:hAnsi="Arial"/>
                <w:b w:val="0"/>
                <w:i w:val="0"/>
                <w:sz w:val="18"/>
              </w:rPr>
              <w:t>List of books examined</w:t>
            </w:r>
          </w:p>
        </w:tc>
        <w:tc>
          <w:tcPr>
            <w:tcW w:type="dxa" w:w="6520"/>
            <w:vAlign w:val="top"/>
          </w:tcPr>
          <w:p>
            <w:pPr>
              <w:jc w:val="left"/>
            </w:pPr>
            <w:r>
              <w:rPr>
                <w:rFonts w:ascii="Arial" w:hAnsi="Arial"/>
                <w:b w:val="0"/>
                <w:i w:val="0"/>
                <w:sz w:val="18"/>
              </w:rPr>
              <w:t>Trial Balance, Loan MIS, NPA Schedule, ALM Statement, Tax Computation</w:t>
            </w:r>
          </w:p>
        </w:tc>
      </w:tr>
      <w:tr>
        <w:tc>
          <w:tcPr>
            <w:tcW w:type="dxa" w:w="850"/>
            <w:vAlign w:val="top"/>
            <w:shd w:val="clear" w:color="auto" w:fill="EBF3FB"/>
          </w:tcPr>
          <w:p>
            <w:pPr>
              <w:jc w:val="left"/>
            </w:pPr>
            <w:r>
              <w:rPr>
                <w:rFonts w:ascii="Arial" w:hAnsi="Arial"/>
                <w:b w:val="0"/>
                <w:i w:val="0"/>
                <w:sz w:val="18"/>
              </w:rPr>
              <w:t>12</w:t>
            </w:r>
          </w:p>
        </w:tc>
        <w:tc>
          <w:tcPr>
            <w:tcW w:type="dxa" w:w="3969"/>
            <w:vAlign w:val="top"/>
            <w:shd w:val="clear" w:color="auto" w:fill="EBF3FB"/>
          </w:tcPr>
          <w:p>
            <w:pPr>
              <w:jc w:val="left"/>
            </w:pPr>
            <w:r>
              <w:rPr>
                <w:rFonts w:ascii="Arial" w:hAnsi="Arial"/>
                <w:b w:val="0"/>
                <w:i w:val="0"/>
                <w:sz w:val="18"/>
              </w:rPr>
              <w:t>Presumptive income (if applicable)</w:t>
            </w:r>
          </w:p>
        </w:tc>
        <w:tc>
          <w:tcPr>
            <w:tcW w:type="dxa" w:w="6520"/>
            <w:vAlign w:val="top"/>
            <w:shd w:val="clear" w:color="auto" w:fill="EBF3FB"/>
          </w:tcPr>
          <w:p>
            <w:pPr>
              <w:jc w:val="left"/>
            </w:pPr>
            <w:r>
              <w:rPr>
                <w:rFonts w:ascii="Arial" w:hAnsi="Arial"/>
                <w:b w:val="0"/>
                <w:i w:val="0"/>
                <w:sz w:val="18"/>
              </w:rPr>
              <w:t>NIL — Actual books of account maintained</w:t>
            </w:r>
          </w:p>
        </w:tc>
      </w:tr>
      <w:tr>
        <w:tc>
          <w:tcPr>
            <w:tcW w:type="dxa" w:w="850"/>
            <w:vAlign w:val="top"/>
          </w:tcPr>
          <w:p>
            <w:pPr>
              <w:jc w:val="left"/>
            </w:pPr>
            <w:r>
              <w:rPr>
                <w:rFonts w:ascii="Arial" w:hAnsi="Arial"/>
                <w:b w:val="0"/>
                <w:i w:val="0"/>
                <w:sz w:val="18"/>
              </w:rPr>
              <w:t>13</w:t>
            </w:r>
          </w:p>
        </w:tc>
        <w:tc>
          <w:tcPr>
            <w:tcW w:type="dxa" w:w="3969"/>
            <w:vAlign w:val="top"/>
          </w:tcPr>
          <w:p>
            <w:pPr>
              <w:jc w:val="left"/>
            </w:pPr>
            <w:r>
              <w:rPr>
                <w:rFonts w:ascii="Arial" w:hAnsi="Arial"/>
                <w:b w:val="0"/>
                <w:i w:val="0"/>
                <w:sz w:val="18"/>
              </w:rPr>
              <w:t>Method of accounting</w:t>
            </w:r>
          </w:p>
        </w:tc>
        <w:tc>
          <w:tcPr>
            <w:tcW w:type="dxa" w:w="6520"/>
            <w:vAlign w:val="top"/>
          </w:tcPr>
          <w:p>
            <w:pPr>
              <w:jc w:val="left"/>
            </w:pPr>
            <w:r>
              <w:rPr>
                <w:rFonts w:ascii="Arial" w:hAnsi="Arial"/>
                <w:b w:val="0"/>
                <w:i w:val="0"/>
                <w:sz w:val="18"/>
              </w:rPr>
              <w:t>Mercantile (Accrual Basis) — Ind AS / AS as applicable</w:t>
            </w:r>
          </w:p>
        </w:tc>
      </w:tr>
      <w:tr>
        <w:tc>
          <w:tcPr>
            <w:tcW w:type="dxa" w:w="850"/>
            <w:vAlign w:val="top"/>
            <w:shd w:val="clear" w:color="auto" w:fill="EBF3FB"/>
          </w:tcPr>
          <w:p>
            <w:pPr>
              <w:jc w:val="left"/>
            </w:pPr>
            <w:r>
              <w:rPr>
                <w:rFonts w:ascii="Arial" w:hAnsi="Arial"/>
                <w:b w:val="0"/>
                <w:i w:val="0"/>
                <w:sz w:val="18"/>
              </w:rPr>
              <w:t>14</w:t>
            </w:r>
          </w:p>
        </w:tc>
        <w:tc>
          <w:tcPr>
            <w:tcW w:type="dxa" w:w="3969"/>
            <w:vAlign w:val="top"/>
            <w:shd w:val="clear" w:color="auto" w:fill="EBF3FB"/>
          </w:tcPr>
          <w:p>
            <w:pPr>
              <w:jc w:val="left"/>
            </w:pPr>
            <w:r>
              <w:rPr>
                <w:rFonts w:ascii="Arial" w:hAnsi="Arial"/>
                <w:b w:val="0"/>
                <w:i w:val="0"/>
                <w:sz w:val="18"/>
              </w:rPr>
              <w:t>Method in preceding year</w:t>
            </w:r>
          </w:p>
        </w:tc>
        <w:tc>
          <w:tcPr>
            <w:tcW w:type="dxa" w:w="6520"/>
            <w:vAlign w:val="top"/>
            <w:shd w:val="clear" w:color="auto" w:fill="EBF3FB"/>
          </w:tcPr>
          <w:p>
            <w:pPr>
              <w:jc w:val="left"/>
            </w:pPr>
            <w:r>
              <w:rPr>
                <w:rFonts w:ascii="Arial" w:hAnsi="Arial"/>
                <w:b w:val="0"/>
                <w:i w:val="0"/>
                <w:sz w:val="18"/>
              </w:rPr>
              <w:t>Mercantile (unchanged)</w:t>
            </w:r>
          </w:p>
        </w:tc>
      </w:tr>
      <w:tr>
        <w:tc>
          <w:tcPr>
            <w:tcW w:type="dxa" w:w="850"/>
            <w:vAlign w:val="top"/>
          </w:tcPr>
          <w:p>
            <w:pPr>
              <w:jc w:val="left"/>
            </w:pPr>
            <w:r>
              <w:rPr>
                <w:rFonts w:ascii="Arial" w:hAnsi="Arial"/>
                <w:b w:val="0"/>
                <w:i w:val="0"/>
                <w:sz w:val="18"/>
              </w:rPr>
              <w:t>15</w:t>
            </w:r>
          </w:p>
        </w:tc>
        <w:tc>
          <w:tcPr>
            <w:tcW w:type="dxa" w:w="3969"/>
            <w:vAlign w:val="top"/>
          </w:tcPr>
          <w:p>
            <w:pPr>
              <w:jc w:val="left"/>
            </w:pPr>
            <w:r>
              <w:rPr>
                <w:rFonts w:ascii="Arial" w:hAnsi="Arial"/>
                <w:b w:val="0"/>
                <w:i w:val="0"/>
                <w:sz w:val="18"/>
              </w:rPr>
              <w:t>Effect on profit of deviation in method</w:t>
            </w:r>
          </w:p>
        </w:tc>
        <w:tc>
          <w:tcPr>
            <w:tcW w:type="dxa" w:w="6520"/>
            <w:vAlign w:val="top"/>
          </w:tcPr>
          <w:p>
            <w:pPr>
              <w:jc w:val="left"/>
            </w:pPr>
            <w:r>
              <w:rPr>
                <w:rFonts w:ascii="Arial" w:hAnsi="Arial"/>
                <w:b w:val="0"/>
                <w:i w:val="0"/>
                <w:sz w:val="18"/>
              </w:rPr>
              <w:t>NIL</w:t>
            </w:r>
          </w:p>
        </w:tc>
      </w:tr>
      <w:tr>
        <w:tc>
          <w:tcPr>
            <w:tcW w:type="dxa" w:w="850"/>
            <w:vAlign w:val="top"/>
            <w:shd w:val="clear" w:color="auto" w:fill="EBF3FB"/>
          </w:tcPr>
          <w:p>
            <w:pPr>
              <w:jc w:val="left"/>
            </w:pPr>
            <w:r>
              <w:rPr>
                <w:rFonts w:ascii="Arial" w:hAnsi="Arial"/>
                <w:b w:val="0"/>
                <w:i w:val="0"/>
                <w:sz w:val="18"/>
              </w:rPr>
              <w:t>16</w:t>
            </w:r>
          </w:p>
        </w:tc>
        <w:tc>
          <w:tcPr>
            <w:tcW w:type="dxa" w:w="3969"/>
            <w:vAlign w:val="top"/>
            <w:shd w:val="clear" w:color="auto" w:fill="EBF3FB"/>
          </w:tcPr>
          <w:p>
            <w:pPr>
              <w:jc w:val="left"/>
            </w:pPr>
            <w:r>
              <w:rPr>
                <w:rFonts w:ascii="Arial" w:hAnsi="Arial"/>
                <w:b w:val="0"/>
                <w:i w:val="0"/>
                <w:sz w:val="18"/>
              </w:rPr>
              <w:t>Valuation of closing stock</w:t>
            </w:r>
          </w:p>
        </w:tc>
        <w:tc>
          <w:tcPr>
            <w:tcW w:type="dxa" w:w="6520"/>
            <w:vAlign w:val="top"/>
            <w:shd w:val="clear" w:color="auto" w:fill="EBF3FB"/>
          </w:tcPr>
          <w:p>
            <w:pPr>
              <w:jc w:val="left"/>
            </w:pPr>
            <w:r>
              <w:rPr>
                <w:rFonts w:ascii="Arial" w:hAnsi="Arial"/>
                <w:b w:val="0"/>
                <w:i w:val="0"/>
                <w:sz w:val="18"/>
              </w:rPr>
              <w:t>N.A. — NBFC (no stock in trade)</w:t>
            </w:r>
          </w:p>
        </w:tc>
      </w:tr>
      <w:tr>
        <w:tc>
          <w:tcPr>
            <w:tcW w:type="dxa" w:w="850"/>
            <w:vAlign w:val="top"/>
          </w:tcPr>
          <w:p>
            <w:pPr>
              <w:jc w:val="left"/>
            </w:pPr>
            <w:r>
              <w:rPr>
                <w:rFonts w:ascii="Arial" w:hAnsi="Arial"/>
                <w:b w:val="0"/>
                <w:i w:val="0"/>
                <w:sz w:val="18"/>
              </w:rPr>
              <w:t>17</w:t>
            </w:r>
          </w:p>
        </w:tc>
        <w:tc>
          <w:tcPr>
            <w:tcW w:type="dxa" w:w="3969"/>
            <w:vAlign w:val="top"/>
          </w:tcPr>
          <w:p>
            <w:pPr>
              <w:jc w:val="left"/>
            </w:pPr>
            <w:r>
              <w:rPr>
                <w:rFonts w:ascii="Arial" w:hAnsi="Arial"/>
                <w:b w:val="0"/>
                <w:i w:val="0"/>
                <w:sz w:val="18"/>
              </w:rPr>
              <w:t>Payments to Section 40A(2)(b) persons</w:t>
            </w:r>
          </w:p>
        </w:tc>
        <w:tc>
          <w:tcPr>
            <w:tcW w:type="dxa" w:w="6520"/>
            <w:vAlign w:val="top"/>
          </w:tcPr>
          <w:p>
            <w:pPr>
              <w:jc w:val="left"/>
            </w:pPr>
            <w:r>
              <w:rPr>
                <w:rFonts w:ascii="Arial" w:hAnsi="Arial"/>
                <w:b w:val="0"/>
                <w:i w:val="0"/>
                <w:sz w:val="18"/>
              </w:rPr>
              <w:t>[NIL / ₹XX lakh — details below]</w:t>
            </w:r>
          </w:p>
        </w:tc>
      </w:tr>
      <w:tr>
        <w:tc>
          <w:tcPr>
            <w:tcW w:type="dxa" w:w="850"/>
            <w:vAlign w:val="top"/>
            <w:shd w:val="clear" w:color="auto" w:fill="EBF3FB"/>
          </w:tcPr>
          <w:p>
            <w:pPr>
              <w:jc w:val="left"/>
            </w:pPr>
            <w:r>
              <w:rPr>
                <w:rFonts w:ascii="Arial" w:hAnsi="Arial"/>
                <w:b w:val="0"/>
                <w:i w:val="0"/>
                <w:sz w:val="18"/>
              </w:rPr>
              <w:t>18</w:t>
            </w:r>
          </w:p>
        </w:tc>
        <w:tc>
          <w:tcPr>
            <w:tcW w:type="dxa" w:w="3969"/>
            <w:vAlign w:val="top"/>
            <w:shd w:val="clear" w:color="auto" w:fill="EBF3FB"/>
          </w:tcPr>
          <w:p>
            <w:pPr>
              <w:jc w:val="left"/>
            </w:pPr>
            <w:r>
              <w:rPr>
                <w:rFonts w:ascii="Arial" w:hAnsi="Arial"/>
                <w:b w:val="0"/>
                <w:i w:val="0"/>
                <w:sz w:val="18"/>
              </w:rPr>
              <w:t>Section 43B deductions (actual payment basis)</w:t>
            </w:r>
          </w:p>
        </w:tc>
        <w:tc>
          <w:tcPr>
            <w:tcW w:type="dxa" w:w="6520"/>
            <w:vAlign w:val="top"/>
            <w:shd w:val="clear" w:color="auto" w:fill="EBF3FB"/>
          </w:tcPr>
          <w:p>
            <w:pPr>
              <w:jc w:val="left"/>
            </w:pPr>
            <w:r>
              <w:rPr>
                <w:rFonts w:ascii="Arial" w:hAnsi="Arial"/>
                <w:b w:val="0"/>
                <w:i w:val="0"/>
                <w:sz w:val="18"/>
              </w:rPr>
              <w:t>[PF contribution paid before due date: ₹XX lakh / after: ₹XX lakh] [Gratuity fund contribution: ₹XX lakh]</w:t>
            </w:r>
          </w:p>
        </w:tc>
      </w:tr>
      <w:tr>
        <w:tc>
          <w:tcPr>
            <w:tcW w:type="dxa" w:w="850"/>
            <w:vAlign w:val="top"/>
          </w:tcPr>
          <w:p>
            <w:pPr>
              <w:jc w:val="left"/>
            </w:pPr>
            <w:r>
              <w:rPr>
                <w:rFonts w:ascii="Arial" w:hAnsi="Arial"/>
                <w:b w:val="0"/>
                <w:i w:val="0"/>
                <w:sz w:val="18"/>
              </w:rPr>
              <w:t>19</w:t>
            </w:r>
          </w:p>
        </w:tc>
        <w:tc>
          <w:tcPr>
            <w:tcW w:type="dxa" w:w="3969"/>
            <w:vAlign w:val="top"/>
          </w:tcPr>
          <w:p>
            <w:pPr>
              <w:jc w:val="left"/>
            </w:pPr>
            <w:r>
              <w:rPr>
                <w:rFonts w:ascii="Arial" w:hAnsi="Arial"/>
                <w:b w:val="0"/>
                <w:i w:val="0"/>
                <w:sz w:val="18"/>
              </w:rPr>
              <w:t>Section 40(a) — TDS default disallowance</w:t>
            </w:r>
          </w:p>
        </w:tc>
        <w:tc>
          <w:tcPr>
            <w:tcW w:type="dxa" w:w="6520"/>
            <w:vAlign w:val="top"/>
          </w:tcPr>
          <w:p>
            <w:pPr>
              <w:jc w:val="left"/>
            </w:pPr>
            <w:r>
              <w:rPr>
                <w:rFonts w:ascii="Arial" w:hAnsi="Arial"/>
                <w:b w:val="0"/>
                <w:i w:val="0"/>
                <w:sz w:val="18"/>
              </w:rPr>
              <w:t>[NIL / ₹XX lakh disallowed — TDS deducted but not paid / not deducted]</w:t>
            </w:r>
          </w:p>
        </w:tc>
      </w:tr>
      <w:tr>
        <w:tc>
          <w:tcPr>
            <w:tcW w:type="dxa" w:w="850"/>
            <w:vAlign w:val="top"/>
            <w:shd w:val="clear" w:color="auto" w:fill="EBF3FB"/>
          </w:tcPr>
          <w:p>
            <w:pPr>
              <w:jc w:val="left"/>
            </w:pPr>
            <w:r>
              <w:rPr>
                <w:rFonts w:ascii="Arial" w:hAnsi="Arial"/>
                <w:b w:val="0"/>
                <w:i w:val="0"/>
                <w:sz w:val="18"/>
              </w:rPr>
              <w:t>20</w:t>
            </w:r>
          </w:p>
        </w:tc>
        <w:tc>
          <w:tcPr>
            <w:tcW w:type="dxa" w:w="3969"/>
            <w:vAlign w:val="top"/>
            <w:shd w:val="clear" w:color="auto" w:fill="EBF3FB"/>
          </w:tcPr>
          <w:p>
            <w:pPr>
              <w:jc w:val="left"/>
            </w:pPr>
            <w:r>
              <w:rPr>
                <w:rFonts w:ascii="Arial" w:hAnsi="Arial"/>
                <w:b w:val="0"/>
                <w:i w:val="0"/>
                <w:sz w:val="18"/>
              </w:rPr>
              <w:t>Personal expenditure debited to P&amp;L</w:t>
            </w:r>
          </w:p>
        </w:tc>
        <w:tc>
          <w:tcPr>
            <w:tcW w:type="dxa" w:w="6520"/>
            <w:vAlign w:val="top"/>
            <w:shd w:val="clear" w:color="auto" w:fill="EBF3FB"/>
          </w:tcPr>
          <w:p>
            <w:pPr>
              <w:jc w:val="left"/>
            </w:pPr>
            <w:r>
              <w:rPr>
                <w:rFonts w:ascii="Arial" w:hAnsi="Arial"/>
                <w:b w:val="0"/>
                <w:i w:val="0"/>
                <w:sz w:val="18"/>
              </w:rPr>
              <w:t>NIL</w:t>
            </w:r>
          </w:p>
        </w:tc>
      </w:tr>
      <w:tr>
        <w:tc>
          <w:tcPr>
            <w:tcW w:type="dxa" w:w="850"/>
            <w:vAlign w:val="top"/>
          </w:tcPr>
          <w:p>
            <w:pPr>
              <w:jc w:val="left"/>
            </w:pPr>
            <w:r>
              <w:rPr>
                <w:rFonts w:ascii="Arial" w:hAnsi="Arial"/>
                <w:b w:val="0"/>
                <w:i w:val="0"/>
                <w:sz w:val="18"/>
              </w:rPr>
              <w:t>21</w:t>
            </w:r>
          </w:p>
        </w:tc>
        <w:tc>
          <w:tcPr>
            <w:tcW w:type="dxa" w:w="3969"/>
            <w:vAlign w:val="top"/>
          </w:tcPr>
          <w:p>
            <w:pPr>
              <w:jc w:val="left"/>
            </w:pPr>
            <w:r>
              <w:rPr>
                <w:rFonts w:ascii="Arial" w:hAnsi="Arial"/>
                <w:b w:val="0"/>
                <w:i w:val="0"/>
                <w:sz w:val="18"/>
              </w:rPr>
              <w:t>CENVAT / VAT availed</w:t>
            </w:r>
          </w:p>
        </w:tc>
        <w:tc>
          <w:tcPr>
            <w:tcW w:type="dxa" w:w="6520"/>
            <w:vAlign w:val="top"/>
          </w:tcPr>
          <w:p>
            <w:pPr>
              <w:jc w:val="left"/>
            </w:pPr>
            <w:r>
              <w:rPr>
                <w:rFonts w:ascii="Arial" w:hAnsi="Arial"/>
                <w:b w:val="0"/>
                <w:i w:val="0"/>
                <w:sz w:val="18"/>
              </w:rPr>
              <w:t>N.A.</w:t>
            </w:r>
          </w:p>
        </w:tc>
      </w:tr>
      <w:tr>
        <w:tc>
          <w:tcPr>
            <w:tcW w:type="dxa" w:w="850"/>
            <w:vAlign w:val="top"/>
            <w:shd w:val="clear" w:color="auto" w:fill="EBF3FB"/>
          </w:tcPr>
          <w:p>
            <w:pPr>
              <w:jc w:val="left"/>
            </w:pPr>
            <w:r>
              <w:rPr>
                <w:rFonts w:ascii="Arial" w:hAnsi="Arial"/>
                <w:b w:val="0"/>
                <w:i w:val="0"/>
                <w:sz w:val="18"/>
              </w:rPr>
              <w:t>22</w:t>
            </w:r>
          </w:p>
        </w:tc>
        <w:tc>
          <w:tcPr>
            <w:tcW w:type="dxa" w:w="3969"/>
            <w:vAlign w:val="top"/>
            <w:shd w:val="clear" w:color="auto" w:fill="EBF3FB"/>
          </w:tcPr>
          <w:p>
            <w:pPr>
              <w:jc w:val="left"/>
            </w:pPr>
            <w:r>
              <w:rPr>
                <w:rFonts w:ascii="Arial" w:hAnsi="Arial"/>
                <w:b w:val="0"/>
                <w:i w:val="0"/>
                <w:sz w:val="18"/>
              </w:rPr>
              <w:t>Deductions under Sections 32AC/35/35D etc.</w:t>
            </w:r>
          </w:p>
        </w:tc>
        <w:tc>
          <w:tcPr>
            <w:tcW w:type="dxa" w:w="6520"/>
            <w:vAlign w:val="top"/>
            <w:shd w:val="clear" w:color="auto" w:fill="EBF3FB"/>
          </w:tcPr>
          <w:p>
            <w:pPr>
              <w:jc w:val="left"/>
            </w:pPr>
            <w:r>
              <w:rPr>
                <w:rFonts w:ascii="Arial" w:hAnsi="Arial"/>
                <w:b w:val="0"/>
                <w:i w:val="0"/>
                <w:sz w:val="18"/>
              </w:rPr>
              <w:t>[NIL / details]</w:t>
            </w:r>
          </w:p>
        </w:tc>
      </w:tr>
      <w:tr>
        <w:tc>
          <w:tcPr>
            <w:tcW w:type="dxa" w:w="850"/>
            <w:vAlign w:val="top"/>
          </w:tcPr>
          <w:p>
            <w:pPr>
              <w:jc w:val="left"/>
            </w:pPr>
            <w:r>
              <w:rPr>
                <w:rFonts w:ascii="Arial" w:hAnsi="Arial"/>
                <w:b w:val="0"/>
                <w:i w:val="0"/>
                <w:sz w:val="18"/>
              </w:rPr>
              <w:t>23</w:t>
            </w:r>
          </w:p>
        </w:tc>
        <w:tc>
          <w:tcPr>
            <w:tcW w:type="dxa" w:w="3969"/>
            <w:vAlign w:val="top"/>
          </w:tcPr>
          <w:p>
            <w:pPr>
              <w:jc w:val="left"/>
            </w:pPr>
            <w:r>
              <w:rPr>
                <w:rFonts w:ascii="Arial" w:hAnsi="Arial"/>
                <w:b w:val="0"/>
                <w:i w:val="0"/>
                <w:sz w:val="18"/>
              </w:rPr>
              <w:t>Provident fund / superannuation contributions</w:t>
            </w:r>
          </w:p>
        </w:tc>
        <w:tc>
          <w:tcPr>
            <w:tcW w:type="dxa" w:w="6520"/>
            <w:vAlign w:val="top"/>
          </w:tcPr>
          <w:p>
            <w:pPr>
              <w:jc w:val="left"/>
            </w:pPr>
            <w:r>
              <w:rPr>
                <w:rFonts w:ascii="Arial" w:hAnsi="Arial"/>
                <w:b w:val="0"/>
                <w:i w:val="0"/>
                <w:sz w:val="18"/>
              </w:rPr>
              <w:t>[₹XX lakh — details in Sch.]</w:t>
            </w:r>
          </w:p>
        </w:tc>
      </w:tr>
      <w:tr>
        <w:tc>
          <w:tcPr>
            <w:tcW w:type="dxa" w:w="850"/>
            <w:vAlign w:val="top"/>
            <w:shd w:val="clear" w:color="auto" w:fill="EBF3FB"/>
          </w:tcPr>
          <w:p>
            <w:pPr>
              <w:jc w:val="left"/>
            </w:pPr>
            <w:r>
              <w:rPr>
                <w:rFonts w:ascii="Arial" w:hAnsi="Arial"/>
                <w:b w:val="0"/>
                <w:i w:val="0"/>
                <w:sz w:val="18"/>
              </w:rPr>
              <w:t>24</w:t>
            </w:r>
          </w:p>
        </w:tc>
        <w:tc>
          <w:tcPr>
            <w:tcW w:type="dxa" w:w="3969"/>
            <w:vAlign w:val="top"/>
            <w:shd w:val="clear" w:color="auto" w:fill="EBF3FB"/>
          </w:tcPr>
          <w:p>
            <w:pPr>
              <w:jc w:val="left"/>
            </w:pPr>
            <w:r>
              <w:rPr>
                <w:rFonts w:ascii="Arial" w:hAnsi="Arial"/>
                <w:b w:val="0"/>
                <w:i w:val="0"/>
                <w:sz w:val="18"/>
              </w:rPr>
              <w:t>Amounts not deductible under Section 36</w:t>
            </w:r>
          </w:p>
        </w:tc>
        <w:tc>
          <w:tcPr>
            <w:tcW w:type="dxa" w:w="6520"/>
            <w:vAlign w:val="top"/>
            <w:shd w:val="clear" w:color="auto" w:fill="EBF3FB"/>
          </w:tcPr>
          <w:p>
            <w:pPr>
              <w:jc w:val="left"/>
            </w:pPr>
            <w:r>
              <w:rPr>
                <w:rFonts w:ascii="Arial" w:hAnsi="Arial"/>
                <w:b w:val="0"/>
                <w:i w:val="0"/>
                <w:sz w:val="18"/>
              </w:rPr>
              <w:t>[NPA provisions — eligible under Section 36(1)(viia) [only scheduled banks — NBFCs not eligible except specific categories] / Bad debts written off under Section 36(1)(vii): ₹XX lakh]</w:t>
            </w:r>
          </w:p>
        </w:tc>
      </w:tr>
      <w:tr>
        <w:tc>
          <w:tcPr>
            <w:tcW w:type="dxa" w:w="850"/>
            <w:vAlign w:val="top"/>
          </w:tcPr>
          <w:p>
            <w:pPr>
              <w:jc w:val="left"/>
            </w:pPr>
            <w:r>
              <w:rPr>
                <w:rFonts w:ascii="Arial" w:hAnsi="Arial"/>
                <w:b w:val="0"/>
                <w:i w:val="0"/>
                <w:sz w:val="18"/>
              </w:rPr>
              <w:t>25</w:t>
            </w:r>
          </w:p>
        </w:tc>
        <w:tc>
          <w:tcPr>
            <w:tcW w:type="dxa" w:w="3969"/>
            <w:vAlign w:val="top"/>
          </w:tcPr>
          <w:p>
            <w:pPr>
              <w:jc w:val="left"/>
            </w:pPr>
            <w:r>
              <w:rPr>
                <w:rFonts w:ascii="Arial" w:hAnsi="Arial"/>
                <w:b w:val="0"/>
                <w:i w:val="0"/>
                <w:sz w:val="18"/>
              </w:rPr>
              <w:t>Deductions u/s 33AB/35CCA</w:t>
            </w:r>
          </w:p>
        </w:tc>
        <w:tc>
          <w:tcPr>
            <w:tcW w:type="dxa" w:w="6520"/>
            <w:vAlign w:val="top"/>
          </w:tcPr>
          <w:p>
            <w:pPr>
              <w:jc w:val="left"/>
            </w:pPr>
            <w:r>
              <w:rPr>
                <w:rFonts w:ascii="Arial" w:hAnsi="Arial"/>
                <w:b w:val="0"/>
                <w:i w:val="0"/>
                <w:sz w:val="18"/>
              </w:rPr>
              <w:t>[NIL / details]</w:t>
            </w:r>
          </w:p>
        </w:tc>
      </w:tr>
      <w:tr>
        <w:tc>
          <w:tcPr>
            <w:tcW w:type="dxa" w:w="850"/>
            <w:vAlign w:val="top"/>
            <w:shd w:val="clear" w:color="auto" w:fill="EBF3FB"/>
          </w:tcPr>
          <w:p>
            <w:pPr>
              <w:jc w:val="left"/>
            </w:pPr>
            <w:r>
              <w:rPr>
                <w:rFonts w:ascii="Arial" w:hAnsi="Arial"/>
                <w:b w:val="0"/>
                <w:i w:val="0"/>
                <w:sz w:val="18"/>
              </w:rPr>
              <w:t>26(A)</w:t>
            </w:r>
          </w:p>
        </w:tc>
        <w:tc>
          <w:tcPr>
            <w:tcW w:type="dxa" w:w="3969"/>
            <w:vAlign w:val="top"/>
            <w:shd w:val="clear" w:color="auto" w:fill="EBF3FB"/>
          </w:tcPr>
          <w:p>
            <w:pPr>
              <w:jc w:val="left"/>
            </w:pPr>
            <w:r>
              <w:rPr>
                <w:rFonts w:ascii="Arial" w:hAnsi="Arial"/>
                <w:b w:val="0"/>
                <w:i w:val="0"/>
                <w:sz w:val="18"/>
              </w:rPr>
              <w:t>Hundi transactions</w:t>
            </w:r>
          </w:p>
        </w:tc>
        <w:tc>
          <w:tcPr>
            <w:tcW w:type="dxa" w:w="6520"/>
            <w:vAlign w:val="top"/>
            <w:shd w:val="clear" w:color="auto" w:fill="EBF3FB"/>
          </w:tcPr>
          <w:p>
            <w:pPr>
              <w:jc w:val="left"/>
            </w:pPr>
            <w:r>
              <w:rPr>
                <w:rFonts w:ascii="Arial" w:hAnsi="Arial"/>
                <w:b w:val="0"/>
                <w:i w:val="0"/>
                <w:sz w:val="18"/>
              </w:rPr>
              <w:t>NIL</w:t>
            </w:r>
          </w:p>
        </w:tc>
      </w:tr>
      <w:tr>
        <w:tc>
          <w:tcPr>
            <w:tcW w:type="dxa" w:w="850"/>
            <w:vAlign w:val="top"/>
          </w:tcPr>
          <w:p>
            <w:pPr>
              <w:jc w:val="left"/>
            </w:pPr>
            <w:r>
              <w:rPr>
                <w:rFonts w:ascii="Arial" w:hAnsi="Arial"/>
                <w:b w:val="0"/>
                <w:i w:val="0"/>
                <w:sz w:val="18"/>
              </w:rPr>
              <w:t>26(B)</w:t>
            </w:r>
          </w:p>
        </w:tc>
        <w:tc>
          <w:tcPr>
            <w:tcW w:type="dxa" w:w="3969"/>
            <w:vAlign w:val="top"/>
          </w:tcPr>
          <w:p>
            <w:pPr>
              <w:jc w:val="left"/>
            </w:pPr>
            <w:r>
              <w:rPr>
                <w:rFonts w:ascii="Arial" w:hAnsi="Arial"/>
                <w:b w:val="0"/>
                <w:i w:val="0"/>
                <w:sz w:val="18"/>
              </w:rPr>
              <w:t>Loans/deposits &gt; ₹20,000 not via account payee cheque</w:t>
            </w:r>
          </w:p>
        </w:tc>
        <w:tc>
          <w:tcPr>
            <w:tcW w:type="dxa" w:w="6520"/>
            <w:vAlign w:val="top"/>
          </w:tcPr>
          <w:p>
            <w:pPr>
              <w:jc w:val="left"/>
            </w:pPr>
            <w:r>
              <w:rPr>
                <w:rFonts w:ascii="Arial" w:hAnsi="Arial"/>
                <w:b w:val="0"/>
                <w:i w:val="0"/>
                <w:sz w:val="18"/>
              </w:rPr>
              <w:t>NIL — all transactions through banking channels</w:t>
            </w:r>
          </w:p>
        </w:tc>
      </w:tr>
      <w:tr>
        <w:tc>
          <w:tcPr>
            <w:tcW w:type="dxa" w:w="850"/>
            <w:vAlign w:val="top"/>
            <w:shd w:val="clear" w:color="auto" w:fill="EBF3FB"/>
          </w:tcPr>
          <w:p>
            <w:pPr>
              <w:jc w:val="left"/>
            </w:pPr>
            <w:r>
              <w:rPr>
                <w:rFonts w:ascii="Arial" w:hAnsi="Arial"/>
                <w:b w:val="0"/>
                <w:i w:val="0"/>
                <w:sz w:val="18"/>
              </w:rPr>
              <w:t>27</w:t>
            </w:r>
          </w:p>
        </w:tc>
        <w:tc>
          <w:tcPr>
            <w:tcW w:type="dxa" w:w="3969"/>
            <w:vAlign w:val="top"/>
            <w:shd w:val="clear" w:color="auto" w:fill="EBF3FB"/>
          </w:tcPr>
          <w:p>
            <w:pPr>
              <w:jc w:val="left"/>
            </w:pPr>
            <w:r>
              <w:rPr>
                <w:rFonts w:ascii="Arial" w:hAnsi="Arial"/>
                <w:b w:val="0"/>
                <w:i w:val="0"/>
                <w:sz w:val="18"/>
              </w:rPr>
              <w:t>Brought forward losses / depreciation</w:t>
            </w:r>
          </w:p>
        </w:tc>
        <w:tc>
          <w:tcPr>
            <w:tcW w:type="dxa" w:w="6520"/>
            <w:vAlign w:val="top"/>
            <w:shd w:val="clear" w:color="auto" w:fill="EBF3FB"/>
          </w:tcPr>
          <w:p>
            <w:pPr>
              <w:jc w:val="left"/>
            </w:pPr>
            <w:r>
              <w:rPr>
                <w:rFonts w:ascii="Arial" w:hAnsi="Arial"/>
                <w:b w:val="0"/>
                <w:i w:val="0"/>
                <w:sz w:val="18"/>
              </w:rPr>
              <w:t>[₹XX lakh — details in Schedule]</w:t>
            </w:r>
          </w:p>
        </w:tc>
      </w:tr>
      <w:tr>
        <w:tc>
          <w:tcPr>
            <w:tcW w:type="dxa" w:w="850"/>
            <w:vAlign w:val="top"/>
          </w:tcPr>
          <w:p>
            <w:pPr>
              <w:jc w:val="left"/>
            </w:pPr>
            <w:r>
              <w:rPr>
                <w:rFonts w:ascii="Arial" w:hAnsi="Arial"/>
                <w:b w:val="0"/>
                <w:i w:val="0"/>
                <w:sz w:val="18"/>
              </w:rPr>
              <w:t>28</w:t>
            </w:r>
          </w:p>
        </w:tc>
        <w:tc>
          <w:tcPr>
            <w:tcW w:type="dxa" w:w="3969"/>
            <w:vAlign w:val="top"/>
          </w:tcPr>
          <w:p>
            <w:pPr>
              <w:jc w:val="left"/>
            </w:pPr>
            <w:r>
              <w:rPr>
                <w:rFonts w:ascii="Arial" w:hAnsi="Arial"/>
                <w:b w:val="0"/>
                <w:i w:val="0"/>
                <w:sz w:val="18"/>
              </w:rPr>
              <w:t>TDS compliance — Section 194A (interest &gt; ₹5,000)</w:t>
            </w:r>
          </w:p>
        </w:tc>
        <w:tc>
          <w:tcPr>
            <w:tcW w:type="dxa" w:w="6520"/>
            <w:vAlign w:val="top"/>
          </w:tcPr>
          <w:p>
            <w:pPr>
              <w:jc w:val="left"/>
            </w:pPr>
            <w:r>
              <w:rPr>
                <w:rFonts w:ascii="Arial" w:hAnsi="Arial"/>
                <w:b w:val="0"/>
                <w:i w:val="0"/>
                <w:sz w:val="18"/>
              </w:rPr>
              <w:t>[TDS deducted and deposited on interest payments to depositors / lenders. Returns filed for Q1-Q4. No defaults / defaults — ₹XX amount in default]</w:t>
            </w:r>
          </w:p>
        </w:tc>
      </w:tr>
      <w:tr>
        <w:tc>
          <w:tcPr>
            <w:tcW w:type="dxa" w:w="850"/>
            <w:vAlign w:val="top"/>
            <w:shd w:val="clear" w:color="auto" w:fill="EBF3FB"/>
          </w:tcPr>
          <w:p>
            <w:pPr>
              <w:jc w:val="left"/>
            </w:pPr>
            <w:r>
              <w:rPr>
                <w:rFonts w:ascii="Arial" w:hAnsi="Arial"/>
                <w:b w:val="0"/>
                <w:i w:val="0"/>
                <w:sz w:val="18"/>
              </w:rPr>
              <w:t>29</w:t>
            </w:r>
          </w:p>
        </w:tc>
        <w:tc>
          <w:tcPr>
            <w:tcW w:type="dxa" w:w="3969"/>
            <w:vAlign w:val="top"/>
            <w:shd w:val="clear" w:color="auto" w:fill="EBF3FB"/>
          </w:tcPr>
          <w:p>
            <w:pPr>
              <w:jc w:val="left"/>
            </w:pPr>
            <w:r>
              <w:rPr>
                <w:rFonts w:ascii="Arial" w:hAnsi="Arial"/>
                <w:b w:val="0"/>
                <w:i w:val="0"/>
                <w:sz w:val="18"/>
              </w:rPr>
              <w:t>Quantitative details</w:t>
            </w:r>
          </w:p>
        </w:tc>
        <w:tc>
          <w:tcPr>
            <w:tcW w:type="dxa" w:w="6520"/>
            <w:vAlign w:val="top"/>
            <w:shd w:val="clear" w:color="auto" w:fill="EBF3FB"/>
          </w:tcPr>
          <w:p>
            <w:pPr>
              <w:jc w:val="left"/>
            </w:pPr>
            <w:r>
              <w:rPr>
                <w:rFonts w:ascii="Arial" w:hAnsi="Arial"/>
                <w:b w:val="0"/>
                <w:i w:val="0"/>
                <w:sz w:val="18"/>
              </w:rPr>
              <w:t>N.A. — Financial Services company</w:t>
            </w:r>
          </w:p>
        </w:tc>
      </w:tr>
      <w:tr>
        <w:tc>
          <w:tcPr>
            <w:tcW w:type="dxa" w:w="850"/>
            <w:vAlign w:val="top"/>
          </w:tcPr>
          <w:p>
            <w:pPr>
              <w:jc w:val="left"/>
            </w:pPr>
            <w:r>
              <w:rPr>
                <w:rFonts w:ascii="Arial" w:hAnsi="Arial"/>
                <w:b w:val="0"/>
                <w:i w:val="0"/>
                <w:sz w:val="18"/>
              </w:rPr>
              <w:t>30</w:t>
            </w:r>
          </w:p>
        </w:tc>
        <w:tc>
          <w:tcPr>
            <w:tcW w:type="dxa" w:w="3969"/>
            <w:vAlign w:val="top"/>
          </w:tcPr>
          <w:p>
            <w:pPr>
              <w:jc w:val="left"/>
            </w:pPr>
            <w:r>
              <w:rPr>
                <w:rFonts w:ascii="Arial" w:hAnsi="Arial"/>
                <w:b w:val="0"/>
                <w:i w:val="0"/>
                <w:sz w:val="18"/>
              </w:rPr>
              <w:t>Physical verification of inventory</w:t>
            </w:r>
          </w:p>
        </w:tc>
        <w:tc>
          <w:tcPr>
            <w:tcW w:type="dxa" w:w="6520"/>
            <w:vAlign w:val="top"/>
          </w:tcPr>
          <w:p>
            <w:pPr>
              <w:jc w:val="left"/>
            </w:pPr>
            <w:r>
              <w:rPr>
                <w:rFonts w:ascii="Arial" w:hAnsi="Arial"/>
                <w:b w:val="0"/>
                <w:i w:val="0"/>
                <w:sz w:val="18"/>
              </w:rPr>
              <w:t>N.A.</w:t>
            </w:r>
          </w:p>
        </w:tc>
      </w:tr>
      <w:tr>
        <w:tc>
          <w:tcPr>
            <w:tcW w:type="dxa" w:w="850"/>
            <w:vAlign w:val="top"/>
            <w:shd w:val="clear" w:color="auto" w:fill="EBF3FB"/>
          </w:tcPr>
          <w:p>
            <w:pPr>
              <w:jc w:val="left"/>
            </w:pPr>
            <w:r>
              <w:rPr>
                <w:rFonts w:ascii="Arial" w:hAnsi="Arial"/>
                <w:b w:val="0"/>
                <w:i w:val="0"/>
                <w:sz w:val="18"/>
              </w:rPr>
              <w:t>31-33</w:t>
            </w:r>
          </w:p>
        </w:tc>
        <w:tc>
          <w:tcPr>
            <w:tcW w:type="dxa" w:w="3969"/>
            <w:vAlign w:val="top"/>
            <w:shd w:val="clear" w:color="auto" w:fill="EBF3FB"/>
          </w:tcPr>
          <w:p>
            <w:pPr>
              <w:jc w:val="left"/>
            </w:pPr>
            <w:r>
              <w:rPr>
                <w:rFonts w:ascii="Arial" w:hAnsi="Arial"/>
                <w:b w:val="0"/>
                <w:i w:val="0"/>
                <w:sz w:val="18"/>
              </w:rPr>
              <w:t>Other prescribed clauses (dividend / Section 80G)</w:t>
            </w:r>
          </w:p>
        </w:tc>
        <w:tc>
          <w:tcPr>
            <w:tcW w:type="dxa" w:w="6520"/>
            <w:vAlign w:val="top"/>
            <w:shd w:val="clear" w:color="auto" w:fill="EBF3FB"/>
          </w:tcPr>
          <w:p>
            <w:pPr>
              <w:jc w:val="left"/>
            </w:pPr>
            <w:r>
              <w:rPr>
                <w:rFonts w:ascii="Arial" w:hAnsi="Arial"/>
                <w:b w:val="0"/>
                <w:i w:val="0"/>
                <w:sz w:val="18"/>
              </w:rPr>
              <w:t>[NIL / ₹XX lakh details as applicable]</w:t>
            </w:r>
          </w:p>
        </w:tc>
      </w:tr>
      <w:tr>
        <w:tc>
          <w:tcPr>
            <w:tcW w:type="dxa" w:w="850"/>
            <w:vAlign w:val="top"/>
          </w:tcPr>
          <w:p>
            <w:pPr>
              <w:jc w:val="left"/>
            </w:pPr>
            <w:r>
              <w:rPr>
                <w:rFonts w:ascii="Arial" w:hAnsi="Arial"/>
                <w:b w:val="0"/>
                <w:i w:val="0"/>
                <w:sz w:val="18"/>
              </w:rPr>
              <w:t>34-38</w:t>
            </w:r>
          </w:p>
        </w:tc>
        <w:tc>
          <w:tcPr>
            <w:tcW w:type="dxa" w:w="3969"/>
            <w:vAlign w:val="top"/>
          </w:tcPr>
          <w:p>
            <w:pPr>
              <w:jc w:val="left"/>
            </w:pPr>
            <w:r>
              <w:rPr>
                <w:rFonts w:ascii="Arial" w:hAnsi="Arial"/>
                <w:b w:val="0"/>
                <w:i w:val="0"/>
                <w:sz w:val="18"/>
              </w:rPr>
              <w:t>ICDS deviations / MAT / deemed dividend</w:t>
            </w:r>
          </w:p>
        </w:tc>
        <w:tc>
          <w:tcPr>
            <w:tcW w:type="dxa" w:w="6520"/>
            <w:vAlign w:val="top"/>
          </w:tcPr>
          <w:p>
            <w:pPr>
              <w:jc w:val="left"/>
            </w:pPr>
            <w:r>
              <w:rPr>
                <w:rFonts w:ascii="Arial" w:hAnsi="Arial"/>
                <w:b w:val="0"/>
                <w:i w:val="0"/>
                <w:sz w:val="18"/>
              </w:rPr>
              <w:t>[ICDS applicable from AY 2017-18 onwards — deviations from ICDS I-X: NIL / details; MAT: applicable as per Section 115JB — MAT credit: ₹XX lakh]</w:t>
            </w:r>
          </w:p>
        </w:tc>
      </w:tr>
    </w:tbl>
    <w:p/>
    <w:p>
      <w:pPr>
        <w:spacing w:before="80" w:after="80"/>
        <w:jc w:val="left"/>
      </w:pPr>
      <w:r>
        <w:rPr>
          <w:rFonts w:ascii="Arial" w:hAnsi="Arial"/>
          <w:b w:val="0"/>
          <w:i/>
          <w:sz w:val="18"/>
        </w:rPr>
        <w:t>Note: This working paper captures the data for Form 3CD compilation. The actual Form 3CD must be filed electronically on the Income Tax portal. Data from Ind AS financials must be converted to Income Tax Act basis for relevant clauses.</w:t>
      </w:r>
    </w:p>
    <w:p/>
    <w:p/>
    <w:p>
      <w:pPr>
        <w:spacing w:before="80" w:after="80"/>
        <w:jc w:val="left"/>
      </w:pPr>
      <w:r>
        <w:rPr>
          <w:rFonts w:ascii="Arial" w:hAnsi="Arial"/>
          <w:b/>
          <w:i w:val="0"/>
          <w:sz w:val="20"/>
        </w:rPr>
        <w:t>For Varma &amp; Varma</w:t>
      </w:r>
    </w:p>
    <w:p>
      <w:pPr>
        <w:spacing w:before="80" w:after="80"/>
        <w:jc w:val="left"/>
      </w:pPr>
      <w:r>
        <w:rPr>
          <w:rFonts w:ascii="Arial" w:hAnsi="Arial"/>
          <w:b w:val="0"/>
          <w:i w:val="0"/>
          <w:sz w:val="20"/>
        </w:rPr>
        <w:t>Chartered Accountants</w:t>
      </w:r>
    </w:p>
    <w:p>
      <w:pPr>
        <w:spacing w:before="80" w:after="80"/>
        <w:jc w:val="left"/>
      </w:pPr>
      <w:r>
        <w:rPr>
          <w:rFonts w:ascii="Arial" w:hAnsi="Arial"/>
          <w:b w:val="0"/>
          <w:i w:val="0"/>
          <w:sz w:val="20"/>
        </w:rPr>
        <w:t>Firm Registration No.: [XXXXXX]W</w:t>
      </w:r>
    </w:p>
    <w:p/>
    <w:p>
      <w:pPr>
        <w:spacing w:before="80" w:after="80"/>
        <w:jc w:val="left"/>
      </w:pPr>
      <w:r>
        <w:rPr>
          <w:rFonts w:ascii="Arial" w:hAnsi="Arial"/>
          <w:b w:val="0"/>
          <w:i w:val="0"/>
          <w:sz w:val="20"/>
        </w:rPr>
        <w:t>_______________________________</w:t>
      </w:r>
    </w:p>
    <w:p>
      <w:pPr>
        <w:spacing w:before="80" w:after="80"/>
        <w:jc w:val="left"/>
      </w:pPr>
      <w:r>
        <w:rPr>
          <w:rFonts w:ascii="Arial" w:hAnsi="Arial"/>
          <w:b w:val="0"/>
          <w:i w:val="0"/>
          <w:sz w:val="20"/>
        </w:rPr>
        <w:t>[Partner Name]</w:t>
      </w:r>
    </w:p>
    <w:p>
      <w:pPr>
        <w:spacing w:before="80" w:after="80"/>
        <w:jc w:val="left"/>
      </w:pPr>
      <w:r>
        <w:rPr>
          <w:rFonts w:ascii="Arial" w:hAnsi="Arial"/>
          <w:b w:val="0"/>
          <w:i w:val="0"/>
          <w:sz w:val="20"/>
        </w:rPr>
        <w:t>Partner — Membership No.: [XXXXXX]</w:t>
      </w:r>
    </w:p>
    <w:p>
      <w:pPr>
        <w:spacing w:before="80" w:after="80"/>
        <w:jc w:val="left"/>
      </w:pPr>
      <w:r>
        <w:rPr>
          <w:rFonts w:ascii="Arial" w:hAnsi="Arial"/>
          <w:b w:val="0"/>
          <w:i w:val="0"/>
          <w:sz w:val="20"/>
        </w:rPr>
        <w:t>UDIN: [XXXXXXXXXXXXXXXXXX]</w:t>
      </w:r>
    </w:p>
    <w:p>
      <w:pPr>
        <w:spacing w:before="80" w:after="80"/>
        <w:jc w:val="left"/>
      </w:pPr>
      <w:r>
        <w:rPr>
          <w:rFonts w:ascii="Arial" w:hAnsi="Arial"/>
          <w:b w:val="0"/>
          <w:i w:val="0"/>
          <w:sz w:val="20"/>
        </w:rPr>
        <w:t>Place: [City]</w:t>
      </w:r>
    </w:p>
    <w:p>
      <w:pPr>
        <w:spacing w:before="80" w:after="80"/>
        <w:jc w:val="left"/>
      </w:pPr>
      <w:r>
        <w:rPr>
          <w:rFonts w:ascii="Arial" w:hAnsi="Arial"/>
          <w:b w:val="0"/>
          <w:i w:val="0"/>
          <w:sz w:val="20"/>
        </w:rPr>
        <w:t>Date: [DD Month YYYY]</w:t>
      </w:r>
    </w:p>
    <w:sectPr w:rsidR="00FC693F" w:rsidRPr="0006063C" w:rsidSect="00034616">
      <w:headerReference w:type="default" r:id="rId9"/>
      <w:pgSz w:w="16838" w:h="11906"/>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Arial" w:hAnsi="Arial"/>
              <w:b w:val="0"/>
              <w:i w:val="0"/>
              <w:sz w:val="16"/>
            </w:rPr>
            <w:t>[Client Name] | Varma &amp; Varma</w:t>
          </w:r>
        </w:p>
      </w:tc>
      <w:tc>
        <w:tcPr>
          <w:tcW w:type="dxa" w:w="7285"/>
          <w:tcBorders>
            <w:top w:val="none"/>
            <w:left w:val="none"/>
            <w:bottom w:val="none"/>
            <w:right w:val="none"/>
          </w:tcBorders>
        </w:tcPr>
        <w:p>
          <w:pPr>
            <w:jc w:val="right"/>
          </w:pPr>
          <w:r>
            <w:rPr>
              <w:rFonts w:ascii="Arial" w:hAnsi="Arial"/>
              <w:b w:val="0"/>
              <w:i w:val="0"/>
              <w:sz w:val="16"/>
            </w:rPr>
            <w:t>Form 3CD — Tax Audit — NBFCs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8518040-CD85-4085-BC75-E977800333E8}"/>
</file>

<file path=customXml/itemProps3.xml><?xml version="1.0" encoding="utf-8"?>
<ds:datastoreItem xmlns:ds="http://schemas.openxmlformats.org/officeDocument/2006/customXml" ds:itemID="{A121CD0D-7D84-47E5-8268-38B74ECEE9AA}"/>
</file>

<file path=customXml/itemProps4.xml><?xml version="1.0" encoding="utf-8"?>
<ds:datastoreItem xmlns:ds="http://schemas.openxmlformats.org/officeDocument/2006/customXml" ds:itemID="{BC6CE2ED-410C-445C-8EDD-8CFE68428FF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