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8F6DE4" w14:textId="77777777" w:rsidR="00127A1F" w:rsidRDefault="00127A1F" w:rsidP="00127A1F">
      <w:pPr>
        <w:spacing w:line="240" w:lineRule="auto"/>
        <w:contextualSpacing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--Compare and contrast the origins and evolutions of slavery and indentured servitude in the English colonies from 1619 through 1700. (draw upon our lecture titled, “Slavery, Servitude, and Solidarities”)</w:t>
      </w:r>
    </w:p>
    <w:p w14:paraId="5C50C4C2" w14:textId="77777777" w:rsidR="00980E3F" w:rsidRDefault="00980E3F"/>
    <w:sectPr w:rsidR="00980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E3F"/>
    <w:rsid w:val="00127A1F"/>
    <w:rsid w:val="0098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C22A4B-9B11-45D7-B444-60760F051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A1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A. Morris</dc:creator>
  <cp:keywords/>
  <dc:description/>
  <cp:lastModifiedBy>Colin A. Morris</cp:lastModifiedBy>
  <cp:revision>2</cp:revision>
  <dcterms:created xsi:type="dcterms:W3CDTF">2020-05-05T07:14:00Z</dcterms:created>
  <dcterms:modified xsi:type="dcterms:W3CDTF">2020-05-05T07:14:00Z</dcterms:modified>
</cp:coreProperties>
</file>