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 2 Clustering Analysis Report</w:t>
      </w:r>
    </w:p>
    <w:p>
      <w:r>
        <w:t>Customer Churn Analysis</w:t>
      </w:r>
    </w:p>
    <w:p>
      <w:pPr>
        <w:pStyle w:val="Heading1"/>
      </w:pPr>
      <w:r>
        <w:t>Elbow method and K-Means</w:t>
      </w:r>
    </w:p>
    <w:p>
      <w:r>
        <w:t>K-Means solutions from k=1 to k=10 were compared using within-cluster sum of squares. The practical elbow was selected at k=4. A four-cluster K-Means model was then trained using scaled numeric and one-hot encoded categorical customer features. Churn was excluded from model fitting and used only after clustering to interpret the segments.</w:t>
      </w:r>
    </w:p>
    <w:p>
      <w:r>
        <w:drawing>
          <wp:inline xmlns:a="http://schemas.openxmlformats.org/drawingml/2006/main" xmlns:pic="http://schemas.openxmlformats.org/drawingml/2006/picture">
            <wp:extent cx="5303520" cy="3409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bow_metho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Cluster profiles</w:t>
      </w:r>
    </w:p>
    <w:p>
      <w:r>
        <w:t>Cluster 0: Newer Higher-Cost Customers. 2,058 customers, average tenure 12.5 months, average monthly charges 73.8, observed churn rate 44.8%.</w:t>
      </w:r>
    </w:p>
    <w:p>
      <w:r>
        <w:t>Cluster 1: Lower-Cost Mid-Tenure Customers. 2,037 customers, average tenure 29.1 months, average monthly charges 26.5, observed churn rate 11.2%.</w:t>
      </w:r>
    </w:p>
    <w:p>
      <w:r>
        <w:t>Cluster 2: Long-Tenure Higher-Value Customers. 1,806 customers, average tenure 58.2 months, average monthly charges 88.2, observed churn rate 13.5%.</w:t>
      </w:r>
    </w:p>
    <w:p>
      <w:r>
        <w:t>Cluster 3: Senior Higher-Risk Customers. 1,142 customers, average tenure 33.3 months, average monthly charges 79.8, observed churn rate 41.7%.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visualis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Interpretation</w:t>
      </w:r>
    </w:p>
    <w:p>
      <w:r>
        <w:t>The segments give the team a practical way to compare customer groups and discuss retention priorities. Higher observed churn in some segments can be used as a guide for later predictive modelling, but the cluster labels are descriptive rather than causal.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