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08.0" w:type="dxa"/>
        <w:tblLayout w:type="fixed"/>
        <w:tblLook w:val="0000"/>
      </w:tblPr>
      <w:tblGrid>
        <w:gridCol w:w="1412"/>
        <w:gridCol w:w="8473"/>
        <w:tblGridChange w:id="0">
          <w:tblGrid>
            <w:gridCol w:w="1412"/>
            <w:gridCol w:w="84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3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widowControl w:val="1"/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rPr/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rPr/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rPr/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09.03.03  Прикладная информатика.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7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70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ОТЧЕТ</w:t>
      </w:r>
    </w:p>
    <w:tbl>
      <w:tblPr>
        <w:tblStyle w:val="Table2"/>
        <w:tblW w:w="4677.0" w:type="dxa"/>
        <w:jc w:val="left"/>
        <w:tblInd w:w="2268.0" w:type="dxa"/>
        <w:tblLayout w:type="fixed"/>
        <w:tblLook w:val="0000"/>
      </w:tblPr>
      <w:tblGrid>
        <w:gridCol w:w="3967"/>
        <w:gridCol w:w="710"/>
        <w:tblGridChange w:id="0">
          <w:tblGrid>
            <w:gridCol w:w="3967"/>
            <w:gridCol w:w="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hd w:fill="ffffff" w:val="clear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 лабораторной работе №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635" distT="1270" distL="635" distR="1270" hidden="0" layoutInCell="1" locked="0" relativeHeight="0" simplePos="0">
                      <wp:simplePos x="0" y="0"/>
                      <wp:positionH relativeFrom="column">
                        <wp:posOffset>-24764</wp:posOffset>
                      </wp:positionH>
                      <wp:positionV relativeFrom="paragraph">
                        <wp:posOffset>153670</wp:posOffset>
                      </wp:positionV>
                      <wp:extent cx="31750" cy="317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65100" y="377964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635" distT="1270" distL="635" distR="1270" hidden="0" layoutInCell="1" locked="0" relativeHeight="0" simplePos="0">
                      <wp:simplePos x="0" y="0"/>
                      <wp:positionH relativeFrom="column">
                        <wp:posOffset>-24764</wp:posOffset>
                      </wp:positionH>
                      <wp:positionV relativeFrom="paragraph">
                        <wp:posOffset>153670</wp:posOffset>
                      </wp:positionV>
                      <wp:extent cx="31750" cy="31750"/>
                      <wp:effectExtent b="0" l="0" r="0" t="0"/>
                      <wp:wrapNone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7">
      <w:pP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ind w:left="567" w:firstLine="0"/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Название: Связь разноязыковых модулей</w:t>
      </w:r>
    </w:p>
    <w:p w:rsidR="00000000" w:rsidDel="00000000" w:rsidP="00000000" w:rsidRDefault="00000000" w:rsidRPr="00000000" w14:paraId="00000019">
      <w:pPr>
        <w:shd w:fill="ffffff" w:val="clea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ind w:left="142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Машинно-зависимые языки и основы компиляции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5670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5670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5670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5670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5670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0.0" w:type="dxa"/>
        <w:jc w:val="left"/>
        <w:tblInd w:w="1.0" w:type="dxa"/>
        <w:tblLayout w:type="fixed"/>
        <w:tblLook w:val="0000"/>
      </w:tblPr>
      <w:tblGrid>
        <w:gridCol w:w="2010"/>
        <w:gridCol w:w="1834"/>
        <w:gridCol w:w="1821"/>
        <w:gridCol w:w="2213"/>
        <w:gridCol w:w="2152"/>
        <w:tblGridChange w:id="0">
          <w:tblGrid>
            <w:gridCol w:w="2010"/>
            <w:gridCol w:w="1834"/>
            <w:gridCol w:w="1821"/>
            <w:gridCol w:w="2213"/>
            <w:gridCol w:w="21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Я.С. Петрова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A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jc w:val="center"/>
        <w:rPr>
          <w:rFonts w:ascii="Arial" w:cs="Arial" w:eastAsia="Arial" w:hAnsi="Arial"/>
          <w:sz w:val="22"/>
          <w:szCs w:val="22"/>
        </w:rPr>
        <w:sectPr>
          <w:headerReference r:id="rId8" w:type="default"/>
          <w:footerReference r:id="rId9" w:type="default"/>
          <w:footerReference r:id="rId10" w:type="first"/>
          <w:pgSz w:h="16838" w:w="11906" w:orient="portrait"/>
          <w:pgMar w:bottom="851" w:top="851" w:left="1418" w:right="567" w:header="720" w:footer="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Москва,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sz w:val="28"/>
          <w:szCs w:val="28"/>
          <w:rtl w:val="0"/>
        </w:rPr>
        <w:t xml:space="preserve">изучение конвенций о способах передачи управления и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данных при вызове из программы, написанной на языке высокого уровня (С++), подпрограмм, написанных на ассемблере.</w:t>
      </w:r>
    </w:p>
    <w:p w:rsidR="00000000" w:rsidDel="00000000" w:rsidP="00000000" w:rsidRDefault="00000000" w:rsidRPr="00000000" w14:paraId="0000003E">
      <w:pPr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40">
      <w:pPr>
        <w:spacing w:line="360" w:lineRule="auto"/>
        <w:ind w:right="0" w:firstLine="720"/>
        <w:jc w:val="both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14975" cy="4762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line="360" w:lineRule="auto"/>
        <w:ind w:firstLine="708.6614173228347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Ход выполнения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 Составим схему алгоритма (рис. 1) для решения поставленной задачи: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29300" cy="51530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08.661417322834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Схема алгоритма программы</w:t>
      </w:r>
    </w:p>
    <w:p w:rsidR="00000000" w:rsidDel="00000000" w:rsidP="00000000" w:rsidRDefault="00000000" w:rsidRPr="00000000" w14:paraId="00000046">
      <w:pPr>
        <w:ind w:firstLine="708.661417322834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08.661417322834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08.661417322834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Напишем программу на языке С++, выполняющую ввод, вызов подпрограммы. Код программы представлен в листинге ниже.</w:t>
      </w:r>
    </w:p>
    <w:p w:rsidR="00000000" w:rsidDel="00000000" w:rsidP="00000000" w:rsidRDefault="00000000" w:rsidRPr="00000000" w14:paraId="0000004A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1 – Код программы на С++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4"/>
          <w:szCs w:val="24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*);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"Введите строку: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4"/>
          <w:szCs w:val="24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5c00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4"/>
          <w:szCs w:val="24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 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4"/>
          <w:szCs w:val="24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4"/>
          <w:szCs w:val="24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 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Напишем подпрограмму на языке ассемблера с учетом регистровой конвенции.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2 – Код подпрограммы на языке ассемблера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global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Convert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.text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сегмент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кода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800000"/>
          <w:sz w:val="28"/>
          <w:szCs w:val="28"/>
          <w:rtl w:val="0"/>
        </w:rPr>
        <w:t xml:space="preserve">Convert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push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RBP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mov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RBP,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RSP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mov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RBX,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RDI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первая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переменная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исходная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строка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mov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ECX,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0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;side_p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800000"/>
          <w:sz w:val="28"/>
          <w:szCs w:val="28"/>
          <w:rtl w:val="0"/>
        </w:rPr>
        <w:t xml:space="preserve">cycle_usual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mov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AL,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[RDI]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color w:val="000080"/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cmp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AL,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je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cmp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AL,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23h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          </w:t>
      </w:r>
      <w:r w:rsidDel="00000000" w:rsidR="00000000" w:rsidRPr="00000000">
        <w:rPr>
          <w:sz w:val="28"/>
          <w:szCs w:val="28"/>
          <w:rtl w:val="0"/>
        </w:rPr>
        <w:t xml:space="preserve">;сравнить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символ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je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prep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;Переход,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если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есть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#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Если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нет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#,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идём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дальше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inc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RDI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увеличиваем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основной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указтель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mov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RBX,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RDI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обновляем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сторонний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указатель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(для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удаления)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jmp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cycle_usual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;совпадают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800000"/>
          <w:sz w:val="28"/>
          <w:szCs w:val="28"/>
          <w:rtl w:val="0"/>
        </w:rPr>
        <w:t xml:space="preserve">prep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color w:val="000080"/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mov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RDX,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mov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BYTE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DL,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[RDI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]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первый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элемент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последовательности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color w:val="000080"/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mov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RCX,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800000"/>
          <w:sz w:val="28"/>
          <w:szCs w:val="28"/>
          <w:rtl w:val="0"/>
        </w:rPr>
        <w:t xml:space="preserve">cycle_find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inc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RDI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color w:val="000080"/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mov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RSI,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cmp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BYTE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[RDI],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DL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          </w:t>
      </w:r>
      <w:r w:rsidDel="00000000" w:rsidR="00000000" w:rsidRPr="00000000">
        <w:rPr>
          <w:sz w:val="28"/>
          <w:szCs w:val="28"/>
          <w:rtl w:val="0"/>
        </w:rPr>
        <w:t xml:space="preserve">;сравнить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Выход,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если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не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совпал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jne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del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Продолжаем,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если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совпал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inc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RCX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увеличиваем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счётчик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jmp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cycle_find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800000"/>
          <w:sz w:val="28"/>
          <w:szCs w:val="28"/>
          <w:rtl w:val="0"/>
        </w:rPr>
        <w:t xml:space="preserve">del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color w:val="000080"/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cmp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RCX,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je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cycle_usual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jmp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clear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800000"/>
          <w:sz w:val="28"/>
          <w:szCs w:val="28"/>
          <w:rtl w:val="0"/>
        </w:rPr>
        <w:t xml:space="preserve">clear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color w:val="000080"/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cmp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RCX,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je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cycle_usual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color w:val="000080"/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mov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BYTE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[RBX],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20h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inc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RBX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dec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RCX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jmp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clear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800000"/>
          <w:sz w:val="28"/>
          <w:szCs w:val="28"/>
          <w:rtl w:val="0"/>
        </w:rPr>
        <w:t xml:space="preserve">Exit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pop</w:t>
      </w:r>
      <w:r w:rsidDel="00000000" w:rsidR="00000000" w:rsidRPr="00000000">
        <w:rPr>
          <w:color w:val="c0c0c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RBP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color w:val="808000"/>
          <w:sz w:val="28"/>
          <w:szCs w:val="28"/>
        </w:rPr>
      </w:pPr>
      <w:r w:rsidDel="00000000" w:rsidR="00000000" w:rsidRPr="00000000">
        <w:rPr>
          <w:color w:val="c0c0c0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сборки программы используется среда QtCreator. Для того, чтобы трансляция и компоновка прошла без сбоев, и не потерялась возможность отлаживать полученную программу, необходимо настроить файл проекта .pro.</w:t>
      </w:r>
    </w:p>
    <w:p w:rsidR="00000000" w:rsidDel="00000000" w:rsidP="00000000" w:rsidRDefault="00000000" w:rsidRPr="00000000" w14:paraId="00000096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3 – Код файла проекта .pro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c++11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console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app_bundle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can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your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deprecated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APIs.</w:t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so,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uncomment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following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line.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#DEFINES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QT_DISABLE_DEPRECATED_BEFORE=0x060000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disables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APIs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deprecated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6.0.0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QMAKE_EXTRA_COMPILERS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nasm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NASMEXTRAFLAGS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elf64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dwarf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OTHER_FILES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$$NASM_SOURCES</w:t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nasm.output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${QMAKE_FILE_BASE}.o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nasm.commands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nasm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$$NASMEXTRAFLAGS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-o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${QMAKE_FILE_BASE}.o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${QMAKE_FILE_NAME}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nasm.input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NASM_SOURCES</w:t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NASM_SOURCES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test.asm</w:t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SOURCES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deployment.</w:t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qnx: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target.path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/tmp/$${</w:t>
      </w: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}/bin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unix:!android: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target.path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/opt/$${</w:t>
      </w: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}/bin</w:t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(target.path):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INSTALLS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target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DISTFILES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test.asm</w:t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test.o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подключение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объектного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модуля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ассемблерной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подпрограммы</w:t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DISTFILES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test.asm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включение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проект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исходного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модуля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ассемблере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для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удобства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вызова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его</w:t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исходного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текста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текстовый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редактор</w:t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~=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s/-O[0123s]//g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отключение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оптимизации</w:t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color w:val="800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-O0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Проведем трансляцию и компоновку в среде QtCreator.</w:t>
      </w:r>
    </w:p>
    <w:p w:rsidR="00000000" w:rsidDel="00000000" w:rsidP="00000000" w:rsidRDefault="00000000" w:rsidRPr="00000000" w14:paraId="000000B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Составим и проведём тесты программы.</w:t>
      </w:r>
    </w:p>
    <w:p w:rsidR="00000000" w:rsidDel="00000000" w:rsidP="00000000" w:rsidRDefault="00000000" w:rsidRPr="00000000" w14:paraId="000000BD">
      <w:pPr>
        <w:widowControl w:val="1"/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1. Сравнение ожидаемых и полученных данных.</w:t>
      </w:r>
    </w:p>
    <w:tbl>
      <w:tblPr>
        <w:tblStyle w:val="Table4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666666666667"/>
        <w:gridCol w:w="3118.666666666667"/>
        <w:gridCol w:w="3118.666666666667"/>
        <w:tblGridChange w:id="0">
          <w:tblGrid>
            <w:gridCol w:w="3118.666666666667"/>
            <w:gridCol w:w="3118.666666666667"/>
            <w:gridCol w:w="3118.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Полученный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adfggg#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847850" cy="4699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6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пустая 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пустая 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60" w:lineRule="auto"/>
              <w:ind w:left="1440" w:hanging="14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847850" cy="4699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6.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adfg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adfg</w:t>
            </w:r>
          </w:p>
          <w:p w:rsidR="00000000" w:rsidDel="00000000" w:rsidP="00000000" w:rsidRDefault="00000000" w:rsidRPr="00000000" w14:paraId="000000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847850" cy="4699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widowControl w:val="1"/>
        <w:spacing w:line="360" w:lineRule="auto"/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видно из таблицы 1, все результаты тестов совпали с ожидаемыми.</w:t>
      </w:r>
    </w:p>
    <w:p w:rsidR="00000000" w:rsidDel="00000000" w:rsidP="00000000" w:rsidRDefault="00000000" w:rsidRPr="00000000" w14:paraId="000000CC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widowControl w:val="1"/>
        <w:spacing w:line="36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CE">
      <w:pPr>
        <w:widowControl w:val="1"/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Что такое «конвенции о связи»? В чем заключается конвенция register?</w:t>
      </w:r>
    </w:p>
    <w:p w:rsidR="00000000" w:rsidDel="00000000" w:rsidP="00000000" w:rsidRDefault="00000000" w:rsidRPr="00000000" w14:paraId="000000CF">
      <w:pPr>
        <w:widowControl w:val="1"/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Конвенции о связи - ряд способов декларировать  передачу параметров при организации связи разных модулей (вызывающей и вызываемой программы). При регистровой конвенции доступно 3 регистра при вызове подпрограммы: EAX, EDX, ECX, все остальные параметры хранятся в стеке.</w:t>
      </w:r>
    </w:p>
    <w:p w:rsidR="00000000" w:rsidDel="00000000" w:rsidP="00000000" w:rsidRDefault="00000000" w:rsidRPr="00000000" w14:paraId="000000D0">
      <w:pPr>
        <w:widowControl w:val="1"/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Что такое «пролог» и «эпилог»? Где располагается область локальных данных?</w:t>
      </w:r>
    </w:p>
    <w:p w:rsidR="00000000" w:rsidDel="00000000" w:rsidP="00000000" w:rsidRDefault="00000000" w:rsidRPr="00000000" w14:paraId="000000D1">
      <w:pPr>
        <w:widowControl w:val="1"/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Пролог и эпилог - стандартное оформление входа и выхода программы соответственно. При вызове программы выполняется пролог, в ходе которого в стеке сохраняется значение RBP вызывающей программы, копии параметров и область локальных переменных подпрограммы.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Как связана структура данных стека в момент передачи управления и текст программы и подпрограмм?</w:t>
      </w:r>
    </w:p>
    <w:p w:rsidR="00000000" w:rsidDel="00000000" w:rsidP="00000000" w:rsidRDefault="00000000" w:rsidRPr="00000000" w14:paraId="000000D3">
      <w:pPr>
        <w:widowControl w:val="1"/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В момент получения управления подпрограммой в регистрах находятся до 6-ти параметров в виде значений или адресов (например, если передать указатель на начало строки), а в стеке – адрес возврата в вызывающую программу (адрес 64х разрядный для 64х разрядной системы).</w:t>
      </w:r>
    </w:p>
    <w:p w:rsidR="00000000" w:rsidDel="00000000" w:rsidP="00000000" w:rsidRDefault="00000000" w:rsidRPr="00000000" w14:paraId="000000D4">
      <w:pPr>
        <w:widowControl w:val="1"/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С какой целью применяют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разноязыковые</w:t>
      </w:r>
      <w:r w:rsidDel="00000000" w:rsidR="00000000" w:rsidRPr="00000000">
        <w:rPr>
          <w:b w:val="1"/>
          <w:sz w:val="28"/>
          <w:szCs w:val="28"/>
          <w:rtl w:val="0"/>
        </w:rPr>
        <w:t xml:space="preserve"> модули в одном проекте?</w:t>
      </w:r>
    </w:p>
    <w:p w:rsidR="00000000" w:rsidDel="00000000" w:rsidP="00000000" w:rsidRDefault="00000000" w:rsidRPr="00000000" w14:paraId="000000D5">
      <w:pPr>
        <w:widowControl w:val="1"/>
        <w:spacing w:line="360" w:lineRule="auto"/>
        <w:ind w:left="72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Разноязыковые</w:t>
      </w:r>
      <w:r w:rsidDel="00000000" w:rsidR="00000000" w:rsidRPr="00000000">
        <w:rPr>
          <w:sz w:val="28"/>
          <w:szCs w:val="28"/>
          <w:rtl w:val="0"/>
        </w:rPr>
        <w:t xml:space="preserve"> модули позволяют дополнить функционал языка высокого уровня. Также возможна оптимизация высоконагруженных функций, которые возможно ускорить за счет замещения стандартныой функции или метода ассемблерной программой.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Я изучила конвенции о способах передачи управления и</w:t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данных при вызове из программы, написанной на языке высокого уровня (С++), подпрограмм, написанных на ассемблере.</w:t>
      </w:r>
    </w:p>
    <w:p w:rsidR="00000000" w:rsidDel="00000000" w:rsidP="00000000" w:rsidRDefault="00000000" w:rsidRPr="00000000" w14:paraId="000000D9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133.8582677165355" w:left="1700.7874015748032" w:right="850.3937007874016" w:header="72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