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jc w:val="center"/>
      </w:pPr>
      <w:r>
        <w:rPr>
          <w:b/>
          <w:color w:val="17365D"/>
          <w:sz w:val="60"/>
        </w:rPr>
        <w:t>AI COUNSELLOR SaaS</w:t>
      </w:r>
    </w:p>
    <w:p>
      <w:pPr>
        <w:widowControl/>
        <w:jc w:val="center"/>
      </w:pPr>
      <w:r>
        <w:rPr>
          <w:color w:val="464646"/>
          <w:sz w:val="30"/>
        </w:rPr>
        <w:t>Master Product Architecture, Database Blueprint and Implementation Roadmap</w:t>
      </w:r>
    </w:p>
    <w:p>
      <w:pPr>
        <w:widowControl/>
      </w:pPr>
    </w:p>
    <w:p>
      <w:pPr>
        <w:widowControl/>
        <w:jc w:val="center"/>
      </w:pPr>
      <w:r>
        <w:rPr>
          <w:b/>
          <w:sz w:val="24"/>
        </w:rPr>
        <w:t>Version 1.0 — June 2026</w:t>
      </w:r>
    </w:p>
    <w:p>
      <w:pPr>
        <w:widowControl/>
        <w:jc w:val="center"/>
      </w:pPr>
      <w:r>
        <w:rPr>
          <w:i/>
        </w:rPr>
        <w:t>Prepared as the permanent reference document for Cursor, Codex and future development agents.</w:t>
      </w:r>
    </w:p>
    <w:p>
      <w:pPr>
        <w:widowControl/>
      </w:pPr>
    </w:p>
    <w:tbl>
      <w:tblPr>
        <w:tblStyle w:val="TableGrid"/>
        <w:tblW w:type="auto" w:w="0"/>
        <w:jc w:val="center"/>
        <w:tblLook w:firstColumn="1" w:firstRow="1" w:lastColumn="0" w:lastRow="0" w:noHBand="0" w:noVBand="1" w:val="04A0"/>
      </w:tblPr>
      <w:tblGrid>
        <w:gridCol w:w="5112"/>
        <w:gridCol w:w="5112"/>
      </w:tblGrid>
      <w:tr>
        <w:tc>
          <w:tcPr>
            <w:tcW w:type="dxa" w:w="5112"/>
            <w:shd w:fill="17365D"/>
            <w:vAlign w:val="center"/>
          </w:tcPr>
          <w:p>
            <w:r/>
            <w:r>
              <w:rPr>
                <w:b/>
                <w:color w:val="FFFFFF"/>
                <w:sz w:val="18"/>
              </w:rPr>
              <w:t>Product owner</w:t>
            </w:r>
          </w:p>
        </w:tc>
        <w:tc>
          <w:tcPr>
            <w:tcW w:type="dxa" w:w="5112"/>
            <w:shd w:fill="EAF2F8"/>
            <w:vAlign w:val="center"/>
          </w:tcPr>
          <w:p>
            <w:r/>
            <w:r>
              <w:rPr>
                <w:b w:val="0"/>
                <w:sz w:val="18"/>
              </w:rPr>
              <w:t>SR World Solutions / IRME</w:t>
            </w:r>
          </w:p>
        </w:tc>
      </w:tr>
      <w:tr>
        <w:tc>
          <w:tcPr>
            <w:tcW w:type="dxa" w:w="5112"/>
            <w:shd w:fill="17365D"/>
            <w:vAlign w:val="center"/>
          </w:tcPr>
          <w:p>
            <w:r/>
            <w:r>
              <w:rPr>
                <w:b/>
                <w:color w:val="FFFFFF"/>
                <w:sz w:val="18"/>
              </w:rPr>
              <w:t>Commercial model</w:t>
            </w:r>
          </w:p>
        </w:tc>
        <w:tc>
          <w:tcPr>
            <w:tcW w:type="dxa" w:w="5112"/>
            <w:shd w:fill="EAF2F8"/>
            <w:vAlign w:val="center"/>
          </w:tcPr>
          <w:p>
            <w:r/>
            <w:r>
              <w:rPr>
                <w:b w:val="0"/>
                <w:sz w:val="18"/>
              </w:rPr>
              <w:t>Managed multi-tenant SaaS; source code not sold</w:t>
            </w:r>
          </w:p>
        </w:tc>
      </w:tr>
      <w:tr>
        <w:tc>
          <w:tcPr>
            <w:tcW w:type="dxa" w:w="5112"/>
            <w:shd w:fill="17365D"/>
            <w:vAlign w:val="center"/>
          </w:tcPr>
          <w:p>
            <w:r/>
            <w:r>
              <w:rPr>
                <w:b/>
                <w:color w:val="FFFFFF"/>
                <w:sz w:val="18"/>
              </w:rPr>
              <w:t>Primary stack</w:t>
            </w:r>
          </w:p>
        </w:tc>
        <w:tc>
          <w:tcPr>
            <w:tcW w:type="dxa" w:w="5112"/>
            <w:shd w:fill="EAF2F8"/>
            <w:vAlign w:val="center"/>
          </w:tcPr>
          <w:p>
            <w:r/>
            <w:r>
              <w:rPr>
                <w:b w:val="0"/>
                <w:sz w:val="18"/>
              </w:rPr>
              <w:t>Laravel, MySQL, Redis, Reverb/WebSockets, JavaScript widget</w:t>
            </w:r>
          </w:p>
        </w:tc>
      </w:tr>
      <w:tr>
        <w:tc>
          <w:tcPr>
            <w:tcW w:type="dxa" w:w="5112"/>
            <w:shd w:fill="17365D"/>
            <w:vAlign w:val="center"/>
          </w:tcPr>
          <w:p>
            <w:r/>
            <w:r>
              <w:rPr>
                <w:b/>
                <w:color w:val="FFFFFF"/>
                <w:sz w:val="18"/>
              </w:rPr>
              <w:t>Primary objective</w:t>
            </w:r>
          </w:p>
        </w:tc>
        <w:tc>
          <w:tcPr>
            <w:tcW w:type="dxa" w:w="5112"/>
            <w:shd w:fill="EAF2F8"/>
            <w:vAlign w:val="center"/>
          </w:tcPr>
          <w:p>
            <w:r/>
            <w:r>
              <w:rPr>
                <w:b w:val="0"/>
                <w:sz w:val="18"/>
              </w:rPr>
              <w:t>Configurable AI counselling for education, institutions and healthcare administration</w:t>
            </w:r>
          </w:p>
        </w:tc>
      </w:tr>
    </w:tbl>
    <w:p>
      <w:pPr>
        <w:widowControl/>
      </w:pPr>
      <w:r>
        <w:br w:type="page"/>
      </w:r>
    </w:p>
    <w:p>
      <w:pPr>
        <w:pStyle w:val="Heading1"/>
        <w:widowControl/>
      </w:pPr>
      <w:r>
        <w:t>1. Document purpose and authority</w:t>
      </w:r>
    </w:p>
    <w:p>
      <w:pPr>
        <w:widowControl/>
      </w:pPr>
      <w:r>
        <w:t>This document is the master technical and product reference for building the AI Counsellor platform. Every development agent must read it before making architectural, database, security, billing, deployment or workflow changes. It is intended to prevent the product from becoming a website-specific chatbot or losing multi-tenant, commercial and compliance requirements during agent changes.</w:t>
      </w:r>
    </w:p>
    <w:p>
      <w:pPr>
        <w:pStyle w:val="ListBullet"/>
        <w:widowControl/>
      </w:pPr>
      <w:r>
        <w:rPr>
          <w:b/>
        </w:rPr>
        <w:t xml:space="preserve">Primary use: </w:t>
      </w:r>
      <w:r>
        <w:t>guide module-by-module implementation and code review.</w:t>
      </w:r>
    </w:p>
    <w:p>
      <w:pPr>
        <w:pStyle w:val="ListBullet"/>
        <w:widowControl/>
      </w:pPr>
      <w:r>
        <w:rPr>
          <w:b/>
        </w:rPr>
        <w:t xml:space="preserve">Change control: </w:t>
      </w:r>
      <w:r>
        <w:t>major deviations require a written architecture decision record.</w:t>
      </w:r>
    </w:p>
    <w:p>
      <w:pPr>
        <w:pStyle w:val="ListBullet"/>
        <w:widowControl/>
      </w:pPr>
      <w:r>
        <w:rPr>
          <w:b/>
        </w:rPr>
        <w:t xml:space="preserve">Scope: </w:t>
      </w:r>
      <w:r>
        <w:t>central SaaS platform, embeddable widget, AI orchestration, knowledge base, lead CRM, human handover, billing and integrations.</w:t>
      </w:r>
    </w:p>
    <w:p>
      <w:pPr>
        <w:pStyle w:val="ListBullet"/>
        <w:widowControl/>
      </w:pPr>
      <w:r>
        <w:rPr>
          <w:b/>
        </w:rPr>
        <w:t xml:space="preserve">Non-goal: </w:t>
      </w:r>
      <w:r>
        <w:t>the first release is not an autonomous medical, legal or guaranteed-admission decision maker.</w:t>
      </w:r>
    </w:p>
    <w:p>
      <w:pPr>
        <w:pStyle w:val="Heading1"/>
        <w:widowControl/>
      </w:pPr>
      <w:r>
        <w:t>2. Product vision</w:t>
      </w:r>
    </w:p>
    <w:p>
      <w:pPr>
        <w:widowControl/>
      </w:pPr>
      <w:r>
        <w:t>Build a centrally managed, subscription-based AI Counsellor that an organisation can embed in any website or application. Each client receives an independently branded and configured counsellor while the source code, platform control, updates and suspension authority remain with the product owner.</w:t>
      </w:r>
    </w:p>
    <w:p>
      <w:pPr>
        <w:pStyle w:val="CodeBlock"/>
        <w:widowControl/>
      </w:pPr>
      <w:r>
        <w:t>Central SaaS Platform</w:t>
        <w:br/>
        <w:t xml:space="preserve">  ├─ Super Admin and Billing</w:t>
        <w:br/>
        <w:t xml:space="preserve">  ├─ Tenant Configuration and Data Isolation</w:t>
        <w:br/>
        <w:t xml:space="preserve">  ├─ Embeddable Web Chat Widget</w:t>
        <w:br/>
        <w:t xml:space="preserve">  ├─ AI Orchestration and Knowledge Retrieval</w:t>
        <w:br/>
        <w:t xml:space="preserve">  ├─ Lead Qualification and Human Handover</w:t>
        <w:br/>
        <w:t xml:space="preserve">  ├─ Email / WhatsApp / Payments / Appointments</w:t>
        <w:br/>
        <w:t xml:space="preserve">  └─ Analytics, Audit, Usage and Compliance</w:t>
      </w:r>
    </w:p>
    <w:p>
      <w:pPr>
        <w:pStyle w:val="Heading1"/>
        <w:widowControl/>
      </w:pPr>
      <w:r>
        <w:t>3. Product objectives</w:t>
      </w:r>
    </w:p>
    <w:p>
      <w:pPr>
        <w:pStyle w:val="ListBullet"/>
        <w:widowControl/>
      </w:pPr>
      <w:r>
        <w:t>Provide immediate, natural and transparent AI-assisted counselling on client websites.</w:t>
      </w:r>
    </w:p>
    <w:p>
      <w:pPr>
        <w:pStyle w:val="ListBullet"/>
        <w:widowControl/>
      </w:pPr>
      <w:r>
        <w:t>Collect structured lead information while maintaining a helpful conversation.</w:t>
      </w:r>
    </w:p>
    <w:p>
      <w:pPr>
        <w:pStyle w:val="ListBullet"/>
        <w:widowControl/>
      </w:pPr>
      <w:r>
        <w:t>Answer only from tenant-approved facts, policies, fees, locations and course/service data.</w:t>
      </w:r>
    </w:p>
    <w:p>
      <w:pPr>
        <w:pStyle w:val="ListBullet"/>
        <w:widowControl/>
      </w:pPr>
      <w:r>
        <w:t>Perform deterministic preliminary eligibility checks using a rules engine.</w:t>
      </w:r>
    </w:p>
    <w:p>
      <w:pPr>
        <w:pStyle w:val="ListBullet"/>
        <w:widowControl/>
      </w:pPr>
      <w:r>
        <w:t>Identify high-intent, uncertain or sensitive conversations and transfer them to a human.</w:t>
      </w:r>
    </w:p>
    <w:p>
      <w:pPr>
        <w:pStyle w:val="ListBullet"/>
        <w:widowControl/>
      </w:pPr>
      <w:r>
        <w:t>Allow the owner to activate, limit, expire or suspend any tenant remotely.</w:t>
      </w:r>
    </w:p>
    <w:p>
      <w:pPr>
        <w:pStyle w:val="ListBullet"/>
        <w:widowControl/>
      </w:pPr>
      <w:r>
        <w:t>Meter AI, messaging, storage and agent usage for monthly or annual billing.</w:t>
      </w:r>
    </w:p>
    <w:p>
      <w:pPr>
        <w:pStyle w:val="ListBullet"/>
        <w:widowControl/>
      </w:pPr>
      <w:r>
        <w:t>Support multiple industries through configurable templates rather than hard-coded workflows.</w:t>
      </w:r>
    </w:p>
    <w:p>
      <w:pPr>
        <w:pStyle w:val="ListBullet"/>
        <w:widowControl/>
      </w:pPr>
      <w:r>
        <w:t>Keep the platform deployable on VPS/cloud; permit restricted cPanel-compatible operation where possible.</w:t>
      </w:r>
    </w:p>
    <w:p>
      <w:pPr>
        <w:pStyle w:val="ListBullet"/>
        <w:widowControl/>
      </w:pPr>
      <w:r>
        <w:t>Preserve complete conversation, consent, action and audit records.</w:t>
      </w:r>
    </w:p>
    <w:p>
      <w:pPr>
        <w:pStyle w:val="Heading1"/>
        <w:widowControl/>
      </w:pPr>
      <w:r>
        <w:t>4. Non-negotiable architecture principles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880"/>
            <w:shd w:fill="17365D"/>
            <w:vAlign w:val="center"/>
          </w:tcPr>
          <w:p>
            <w:r/>
            <w:r>
              <w:rPr>
                <w:b/>
                <w:color w:val="FFFFFF"/>
                <w:sz w:val="18"/>
              </w:rPr>
              <w:t>Principle</w:t>
            </w:r>
          </w:p>
        </w:tc>
        <w:tc>
          <w:tcPr>
            <w:tcW w:type="dxa" w:w="7200"/>
            <w:shd w:fill="17365D"/>
            <w:vAlign w:val="center"/>
          </w:tcPr>
          <w:p>
            <w:r/>
            <w:r>
              <w:rPr>
                <w:b/>
                <w:color w:val="FFFFFF"/>
                <w:sz w:val="18"/>
              </w:rPr>
              <w:t>Required interpretation</w:t>
            </w:r>
          </w:p>
        </w:tc>
      </w:tr>
      <w:tr>
        <w:tc>
          <w:tcPr>
            <w:tcW w:type="dxa" w:w="2880"/>
            <w:vAlign w:val="center"/>
          </w:tcPr>
          <w:p>
            <w:r/>
            <w:r>
              <w:rPr>
                <w:b w:val="0"/>
                <w:sz w:val="17"/>
              </w:rPr>
              <w:t>Multi-tenant by design</w:t>
            </w:r>
          </w:p>
        </w:tc>
        <w:tc>
          <w:tcPr>
            <w:tcW w:type="dxa" w:w="7200"/>
            <w:vAlign w:val="center"/>
          </w:tcPr>
          <w:p>
            <w:r/>
            <w:r>
              <w:rPr>
                <w:b w:val="0"/>
                <w:sz w:val="17"/>
              </w:rPr>
              <w:t>Every tenant-owned record is isolated. No query may expose another tenant’s data.</w:t>
            </w:r>
          </w:p>
        </w:tc>
      </w:tr>
      <w:tr>
        <w:tc>
          <w:tcPr>
            <w:tcW w:type="dxa" w:w="2880"/>
            <w:vAlign w:val="center"/>
            <w:shd w:fill="EAF2F8"/>
          </w:tcPr>
          <w:p>
            <w:r/>
            <w:r>
              <w:rPr>
                <w:b w:val="0"/>
                <w:sz w:val="17"/>
              </w:rPr>
              <w:t>Central ownership</w:t>
            </w:r>
          </w:p>
        </w:tc>
        <w:tc>
          <w:tcPr>
            <w:tcW w:type="dxa" w:w="7200"/>
            <w:vAlign w:val="center"/>
            <w:shd w:fill="EAF2F8"/>
          </w:tcPr>
          <w:p>
            <w:r/>
            <w:r>
              <w:rPr>
                <w:b w:val="0"/>
                <w:sz w:val="17"/>
              </w:rPr>
              <w:t>Client embeds a widget; source code and platform administration remain central.</w:t>
            </w:r>
          </w:p>
        </w:tc>
      </w:tr>
      <w:tr>
        <w:tc>
          <w:tcPr>
            <w:tcW w:type="dxa" w:w="2880"/>
            <w:vAlign w:val="center"/>
          </w:tcPr>
          <w:p>
            <w:r/>
            <w:r>
              <w:rPr>
                <w:b w:val="0"/>
                <w:sz w:val="17"/>
              </w:rPr>
              <w:t>Provider independence</w:t>
            </w:r>
          </w:p>
        </w:tc>
        <w:tc>
          <w:tcPr>
            <w:tcW w:type="dxa" w:w="7200"/>
            <w:vAlign w:val="center"/>
          </w:tcPr>
          <w:p>
            <w:r/>
            <w:r>
              <w:rPr>
                <w:b w:val="0"/>
                <w:sz w:val="17"/>
              </w:rPr>
              <w:t>OpenAI is first provider, but business logic must not depend on one AI vendor.</w:t>
            </w:r>
          </w:p>
        </w:tc>
      </w:tr>
      <w:tr>
        <w:tc>
          <w:tcPr>
            <w:tcW w:type="dxa" w:w="2880"/>
            <w:vAlign w:val="center"/>
            <w:shd w:fill="EAF2F8"/>
          </w:tcPr>
          <w:p>
            <w:r/>
            <w:r>
              <w:rPr>
                <w:b w:val="0"/>
                <w:sz w:val="17"/>
              </w:rPr>
              <w:t>AI proposes; code controls</w:t>
            </w:r>
          </w:p>
        </w:tc>
        <w:tc>
          <w:tcPr>
            <w:tcW w:type="dxa" w:w="7200"/>
            <w:vAlign w:val="center"/>
            <w:shd w:fill="EAF2F8"/>
          </w:tcPr>
          <w:p>
            <w:r/>
            <w:r>
              <w:rPr>
                <w:b w:val="0"/>
                <w:sz w:val="17"/>
              </w:rPr>
              <w:t>Eligibility, prices, payments, identity and database actions are validated by application code.</w:t>
            </w:r>
          </w:p>
        </w:tc>
      </w:tr>
      <w:tr>
        <w:tc>
          <w:tcPr>
            <w:tcW w:type="dxa" w:w="2880"/>
            <w:vAlign w:val="center"/>
          </w:tcPr>
          <w:p>
            <w:r/>
            <w:r>
              <w:rPr>
                <w:b w:val="0"/>
                <w:sz w:val="17"/>
              </w:rPr>
              <w:t>Human escalation</w:t>
            </w:r>
          </w:p>
        </w:tc>
        <w:tc>
          <w:tcPr>
            <w:tcW w:type="dxa" w:w="7200"/>
            <w:vAlign w:val="center"/>
          </w:tcPr>
          <w:p>
            <w:r/>
            <w:r>
              <w:rPr>
                <w:b w:val="0"/>
                <w:sz w:val="17"/>
              </w:rPr>
              <w:t>The system must always provide controlled transfer to authorised staff.</w:t>
            </w:r>
          </w:p>
        </w:tc>
      </w:tr>
      <w:tr>
        <w:tc>
          <w:tcPr>
            <w:tcW w:type="dxa" w:w="2880"/>
            <w:vAlign w:val="center"/>
            <w:shd w:fill="EAF2F8"/>
          </w:tcPr>
          <w:p>
            <w:r/>
            <w:r>
              <w:rPr>
                <w:b w:val="0"/>
                <w:sz w:val="17"/>
              </w:rPr>
              <w:t>Least privilege</w:t>
            </w:r>
          </w:p>
        </w:tc>
        <w:tc>
          <w:tcPr>
            <w:tcW w:type="dxa" w:w="7200"/>
            <w:vAlign w:val="center"/>
            <w:shd w:fill="EAF2F8"/>
          </w:tcPr>
          <w:p>
            <w:r/>
            <w:r>
              <w:rPr>
                <w:b w:val="0"/>
                <w:sz w:val="17"/>
              </w:rPr>
              <w:t>AI and users receive only the tools and records necessary for their current action.</w:t>
            </w:r>
          </w:p>
        </w:tc>
      </w:tr>
      <w:tr>
        <w:tc>
          <w:tcPr>
            <w:tcW w:type="dxa" w:w="2880"/>
            <w:vAlign w:val="center"/>
          </w:tcPr>
          <w:p>
            <w:r/>
            <w:r>
              <w:rPr>
                <w:b w:val="0"/>
                <w:sz w:val="17"/>
              </w:rPr>
              <w:t>Auditability</w:t>
            </w:r>
          </w:p>
        </w:tc>
        <w:tc>
          <w:tcPr>
            <w:tcW w:type="dxa" w:w="7200"/>
            <w:vAlign w:val="center"/>
          </w:tcPr>
          <w:p>
            <w:r/>
            <w:r>
              <w:rPr>
                <w:b w:val="0"/>
                <w:sz w:val="17"/>
              </w:rPr>
              <w:t>Every sensitive action, configuration change and automated decision is logged.</w:t>
            </w:r>
          </w:p>
        </w:tc>
      </w:tr>
      <w:tr>
        <w:tc>
          <w:tcPr>
            <w:tcW w:type="dxa" w:w="2880"/>
            <w:vAlign w:val="center"/>
            <w:shd w:fill="EAF2F8"/>
          </w:tcPr>
          <w:p>
            <w:r/>
            <w:r>
              <w:rPr>
                <w:b w:val="0"/>
                <w:sz w:val="17"/>
              </w:rPr>
              <w:t>Configuration over forks</w:t>
            </w:r>
          </w:p>
        </w:tc>
        <w:tc>
          <w:tcPr>
            <w:tcW w:type="dxa" w:w="7200"/>
            <w:vAlign w:val="center"/>
            <w:shd w:fill="EAF2F8"/>
          </w:tcPr>
          <w:p>
            <w:r/>
            <w:r>
              <w:rPr>
                <w:b w:val="0"/>
                <w:sz w:val="17"/>
              </w:rPr>
              <w:t>Industry/client variation is handled with templates and settings, not separate codebases.</w:t>
            </w:r>
          </w:p>
        </w:tc>
      </w:tr>
      <w:tr>
        <w:tc>
          <w:tcPr>
            <w:tcW w:type="dxa" w:w="2880"/>
            <w:vAlign w:val="center"/>
          </w:tcPr>
          <w:p>
            <w:r/>
            <w:r>
              <w:rPr>
                <w:b w:val="0"/>
                <w:sz w:val="17"/>
              </w:rPr>
              <w:t>Safe degradation</w:t>
            </w:r>
          </w:p>
        </w:tc>
        <w:tc>
          <w:tcPr>
            <w:tcW w:type="dxa" w:w="7200"/>
            <w:vAlign w:val="center"/>
          </w:tcPr>
          <w:p>
            <w:r/>
            <w:r>
              <w:rPr>
                <w:b w:val="0"/>
                <w:sz w:val="17"/>
              </w:rPr>
              <w:t>If AI, Redis or real-time services fail, lead capture and human contact must remain available.</w:t>
            </w:r>
          </w:p>
        </w:tc>
      </w:tr>
      <w:tr>
        <w:tc>
          <w:tcPr>
            <w:tcW w:type="dxa" w:w="2880"/>
            <w:vAlign w:val="center"/>
            <w:shd w:fill="EAF2F8"/>
          </w:tcPr>
          <w:p>
            <w:r/>
            <w:r>
              <w:rPr>
                <w:b w:val="0"/>
                <w:sz w:val="17"/>
              </w:rPr>
              <w:t>No hidden AI</w:t>
            </w:r>
          </w:p>
        </w:tc>
        <w:tc>
          <w:tcPr>
            <w:tcW w:type="dxa" w:w="7200"/>
            <w:vAlign w:val="center"/>
            <w:shd w:fill="EAF2F8"/>
          </w:tcPr>
          <w:p>
            <w:r/>
            <w:r>
              <w:rPr>
                <w:b w:val="0"/>
                <w:sz w:val="17"/>
              </w:rPr>
              <w:t>The assistant must disclose that it is an AI-powered assistant in a clear, non-disruptive manner.</w:t>
            </w:r>
          </w:p>
        </w:tc>
      </w:tr>
    </w:tbl>
    <w:p>
      <w:pPr>
        <w:widowControl/>
      </w:pPr>
    </w:p>
    <w:p>
      <w:pPr>
        <w:pStyle w:val="Heading1"/>
        <w:widowControl/>
      </w:pPr>
      <w:r>
        <w:t>5. User roles and access boundaries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088"/>
            <w:shd w:fill="17365D"/>
            <w:vAlign w:val="center"/>
          </w:tcPr>
          <w:p>
            <w:r/>
            <w:r>
              <w:rPr>
                <w:b/>
                <w:color w:val="FFFFFF"/>
                <w:sz w:val="18"/>
              </w:rPr>
              <w:t>Role</w:t>
            </w:r>
          </w:p>
        </w:tc>
        <w:tc>
          <w:tcPr>
            <w:tcW w:type="dxa" w:w="2016"/>
            <w:shd w:fill="17365D"/>
            <w:vAlign w:val="center"/>
          </w:tcPr>
          <w:p>
            <w:r/>
            <w:r>
              <w:rPr>
                <w:b/>
                <w:color w:val="FFFFFF"/>
                <w:sz w:val="18"/>
              </w:rPr>
              <w:t>Scope</w:t>
            </w:r>
          </w:p>
        </w:tc>
        <w:tc>
          <w:tcPr>
            <w:tcW w:type="dxa" w:w="5904"/>
            <w:shd w:fill="17365D"/>
            <w:vAlign w:val="center"/>
          </w:tcPr>
          <w:p>
            <w:r/>
            <w:r>
              <w:rPr>
                <w:b/>
                <w:color w:val="FFFFFF"/>
                <w:sz w:val="18"/>
              </w:rPr>
              <w:t>Main permissions</w:t>
            </w:r>
          </w:p>
        </w:tc>
      </w:tr>
      <w:tr>
        <w:tc>
          <w:tcPr>
            <w:tcW w:type="dxa" w:w="2088"/>
            <w:vAlign w:val="center"/>
          </w:tcPr>
          <w:p>
            <w:r/>
            <w:r>
              <w:rPr>
                <w:b w:val="0"/>
                <w:sz w:val="17"/>
              </w:rPr>
              <w:t>Platform Super Admin</w:t>
            </w:r>
          </w:p>
        </w:tc>
        <w:tc>
          <w:tcPr>
            <w:tcW w:type="dxa" w:w="2016"/>
            <w:vAlign w:val="center"/>
          </w:tcPr>
          <w:p>
            <w:r/>
            <w:r>
              <w:rPr>
                <w:b w:val="0"/>
                <w:sz w:val="17"/>
              </w:rPr>
              <w:t>All tenants</w:t>
            </w:r>
          </w:p>
        </w:tc>
        <w:tc>
          <w:tcPr>
            <w:tcW w:type="dxa" w:w="5904"/>
            <w:vAlign w:val="center"/>
          </w:tcPr>
          <w:p>
            <w:r/>
            <w:r>
              <w:rPr>
                <w:b w:val="0"/>
                <w:sz w:val="17"/>
              </w:rPr>
              <w:t>Create/suspend tenants, plans, usage limits, provider configuration, system audit, support impersonation with audit.</w:t>
            </w:r>
          </w:p>
        </w:tc>
      </w:tr>
      <w:tr>
        <w:tc>
          <w:tcPr>
            <w:tcW w:type="dxa" w:w="2088"/>
            <w:vAlign w:val="center"/>
            <w:shd w:fill="EAF2F8"/>
          </w:tcPr>
          <w:p>
            <w:r/>
            <w:r>
              <w:rPr>
                <w:b w:val="0"/>
                <w:sz w:val="17"/>
              </w:rPr>
              <w:t>Platform Support</w:t>
            </w:r>
          </w:p>
        </w:tc>
        <w:tc>
          <w:tcPr>
            <w:tcW w:type="dxa" w:w="2016"/>
            <w:vAlign w:val="center"/>
            <w:shd w:fill="EAF2F8"/>
          </w:tcPr>
          <w:p>
            <w:r/>
            <w:r>
              <w:rPr>
                <w:b w:val="0"/>
                <w:sz w:val="17"/>
              </w:rPr>
              <w:t>Assigned tenants</w:t>
            </w:r>
          </w:p>
        </w:tc>
        <w:tc>
          <w:tcPr>
            <w:tcW w:type="dxa" w:w="5904"/>
            <w:vAlign w:val="center"/>
            <w:shd w:fill="EAF2F8"/>
          </w:tcPr>
          <w:p>
            <w:r/>
            <w:r>
              <w:rPr>
                <w:b w:val="0"/>
                <w:sz w:val="17"/>
              </w:rPr>
              <w:t>Troubleshooting and configuration; no unrestricted billing or secret access.</w:t>
            </w:r>
          </w:p>
        </w:tc>
      </w:tr>
      <w:tr>
        <w:tc>
          <w:tcPr>
            <w:tcW w:type="dxa" w:w="2088"/>
            <w:vAlign w:val="center"/>
          </w:tcPr>
          <w:p>
            <w:r/>
            <w:r>
              <w:rPr>
                <w:b w:val="0"/>
                <w:sz w:val="17"/>
              </w:rPr>
              <w:t>Tenant Owner/Admin</w:t>
            </w:r>
          </w:p>
        </w:tc>
        <w:tc>
          <w:tcPr>
            <w:tcW w:type="dxa" w:w="2016"/>
            <w:vAlign w:val="center"/>
          </w:tcPr>
          <w:p>
            <w:r/>
            <w:r>
              <w:rPr>
                <w:b w:val="0"/>
                <w:sz w:val="17"/>
              </w:rPr>
              <w:t>One tenant</w:t>
            </w:r>
          </w:p>
        </w:tc>
        <w:tc>
          <w:tcPr>
            <w:tcW w:type="dxa" w:w="5904"/>
            <w:vAlign w:val="center"/>
          </w:tcPr>
          <w:p>
            <w:r/>
            <w:r>
              <w:rPr>
                <w:b w:val="0"/>
                <w:sz w:val="17"/>
              </w:rPr>
              <w:t>Branding, domains, users, knowledge, services, agents, integrations, reports.</w:t>
            </w:r>
          </w:p>
        </w:tc>
      </w:tr>
      <w:tr>
        <w:tc>
          <w:tcPr>
            <w:tcW w:type="dxa" w:w="2088"/>
            <w:vAlign w:val="center"/>
            <w:shd w:fill="EAF2F8"/>
          </w:tcPr>
          <w:p>
            <w:r/>
            <w:r>
              <w:rPr>
                <w:b w:val="0"/>
                <w:sz w:val="17"/>
              </w:rPr>
              <w:t>Manager/Senior Counsellor</w:t>
            </w:r>
          </w:p>
        </w:tc>
        <w:tc>
          <w:tcPr>
            <w:tcW w:type="dxa" w:w="2016"/>
            <w:vAlign w:val="center"/>
            <w:shd w:fill="EAF2F8"/>
          </w:tcPr>
          <w:p>
            <w:r/>
            <w:r>
              <w:rPr>
                <w:b w:val="0"/>
                <w:sz w:val="17"/>
              </w:rPr>
              <w:t>One tenant or branch</w:t>
            </w:r>
          </w:p>
        </w:tc>
        <w:tc>
          <w:tcPr>
            <w:tcW w:type="dxa" w:w="5904"/>
            <w:vAlign w:val="center"/>
            <w:shd w:fill="EAF2F8"/>
          </w:tcPr>
          <w:p>
            <w:r/>
            <w:r>
              <w:rPr>
                <w:b w:val="0"/>
                <w:sz w:val="17"/>
              </w:rPr>
              <w:t>Lead assignment, escalation, quality review, reports, approved overrides.</w:t>
            </w:r>
          </w:p>
        </w:tc>
      </w:tr>
      <w:tr>
        <w:tc>
          <w:tcPr>
            <w:tcW w:type="dxa" w:w="2088"/>
            <w:vAlign w:val="center"/>
          </w:tcPr>
          <w:p>
            <w:r/>
            <w:r>
              <w:rPr>
                <w:b w:val="0"/>
                <w:sz w:val="17"/>
              </w:rPr>
              <w:t>Counsellor/Agent</w:t>
            </w:r>
          </w:p>
        </w:tc>
        <w:tc>
          <w:tcPr>
            <w:tcW w:type="dxa" w:w="2016"/>
            <w:vAlign w:val="center"/>
          </w:tcPr>
          <w:p>
            <w:r/>
            <w:r>
              <w:rPr>
                <w:b w:val="0"/>
                <w:sz w:val="17"/>
              </w:rPr>
              <w:t>Assigned queues</w:t>
            </w:r>
          </w:p>
        </w:tc>
        <w:tc>
          <w:tcPr>
            <w:tcW w:type="dxa" w:w="5904"/>
            <w:vAlign w:val="center"/>
          </w:tcPr>
          <w:p>
            <w:r/>
            <w:r>
              <w:rPr>
                <w:b w:val="0"/>
                <w:sz w:val="17"/>
              </w:rPr>
              <w:t>View and handle conversations/leads; notes and follow-ups.</w:t>
            </w:r>
          </w:p>
        </w:tc>
      </w:tr>
      <w:tr>
        <w:tc>
          <w:tcPr>
            <w:tcW w:type="dxa" w:w="2088"/>
            <w:vAlign w:val="center"/>
            <w:shd w:fill="EAF2F8"/>
          </w:tcPr>
          <w:p>
            <w:r/>
            <w:r>
              <w:rPr>
                <w:b w:val="0"/>
                <w:sz w:val="17"/>
              </w:rPr>
              <w:t>Content Manager</w:t>
            </w:r>
          </w:p>
        </w:tc>
        <w:tc>
          <w:tcPr>
            <w:tcW w:type="dxa" w:w="2016"/>
            <w:vAlign w:val="center"/>
            <w:shd w:fill="EAF2F8"/>
          </w:tcPr>
          <w:p>
            <w:r/>
            <w:r>
              <w:rPr>
                <w:b w:val="0"/>
                <w:sz w:val="17"/>
              </w:rPr>
              <w:t>One tenant</w:t>
            </w:r>
          </w:p>
        </w:tc>
        <w:tc>
          <w:tcPr>
            <w:tcW w:type="dxa" w:w="5904"/>
            <w:vAlign w:val="center"/>
            <w:shd w:fill="EAF2F8"/>
          </w:tcPr>
          <w:p>
            <w:r/>
            <w:r>
              <w:rPr>
                <w:b w:val="0"/>
                <w:sz w:val="17"/>
              </w:rPr>
              <w:t>Maintain FAQs, courses, documents and publish versions.</w:t>
            </w:r>
          </w:p>
        </w:tc>
      </w:tr>
      <w:tr>
        <w:tc>
          <w:tcPr>
            <w:tcW w:type="dxa" w:w="2088"/>
            <w:vAlign w:val="center"/>
          </w:tcPr>
          <w:p>
            <w:r/>
            <w:r>
              <w:rPr>
                <w:b w:val="0"/>
                <w:sz w:val="17"/>
              </w:rPr>
              <w:t>Billing User</w:t>
            </w:r>
          </w:p>
        </w:tc>
        <w:tc>
          <w:tcPr>
            <w:tcW w:type="dxa" w:w="2016"/>
            <w:vAlign w:val="center"/>
          </w:tcPr>
          <w:p>
            <w:r/>
            <w:r>
              <w:rPr>
                <w:b w:val="0"/>
                <w:sz w:val="17"/>
              </w:rPr>
              <w:t>One tenant</w:t>
            </w:r>
          </w:p>
        </w:tc>
        <w:tc>
          <w:tcPr>
            <w:tcW w:type="dxa" w:w="5904"/>
            <w:vAlign w:val="center"/>
          </w:tcPr>
          <w:p>
            <w:r/>
            <w:r>
              <w:rPr>
                <w:b w:val="0"/>
                <w:sz w:val="17"/>
              </w:rPr>
              <w:t>Invoices, plan, usage and payment records only.</w:t>
            </w:r>
          </w:p>
        </w:tc>
      </w:tr>
      <w:tr>
        <w:tc>
          <w:tcPr>
            <w:tcW w:type="dxa" w:w="2088"/>
            <w:vAlign w:val="center"/>
            <w:shd w:fill="EAF2F8"/>
          </w:tcPr>
          <w:p>
            <w:r/>
            <w:r>
              <w:rPr>
                <w:b w:val="0"/>
                <w:sz w:val="17"/>
              </w:rPr>
              <w:t>Visitor/Lead</w:t>
            </w:r>
          </w:p>
        </w:tc>
        <w:tc>
          <w:tcPr>
            <w:tcW w:type="dxa" w:w="2016"/>
            <w:vAlign w:val="center"/>
            <w:shd w:fill="EAF2F8"/>
          </w:tcPr>
          <w:p>
            <w:r/>
            <w:r>
              <w:rPr>
                <w:b w:val="0"/>
                <w:sz w:val="17"/>
              </w:rPr>
              <w:t>Public session</w:t>
            </w:r>
          </w:p>
        </w:tc>
        <w:tc>
          <w:tcPr>
            <w:tcW w:type="dxa" w:w="5904"/>
            <w:vAlign w:val="center"/>
            <w:shd w:fill="EAF2F8"/>
          </w:tcPr>
          <w:p>
            <w:r/>
            <w:r>
              <w:rPr>
                <w:b w:val="0"/>
                <w:sz w:val="17"/>
              </w:rPr>
              <w:t>Chat, consent, OTP, form completion, payment via secure gateway.</w:t>
            </w:r>
          </w:p>
        </w:tc>
      </w:tr>
      <w:tr>
        <w:tc>
          <w:tcPr>
            <w:tcW w:type="dxa" w:w="2088"/>
            <w:vAlign w:val="center"/>
          </w:tcPr>
          <w:p>
            <w:r/>
            <w:r>
              <w:rPr>
                <w:b w:val="0"/>
                <w:sz w:val="17"/>
              </w:rPr>
              <w:t>API Client</w:t>
            </w:r>
          </w:p>
        </w:tc>
        <w:tc>
          <w:tcPr>
            <w:tcW w:type="dxa" w:w="2016"/>
            <w:vAlign w:val="center"/>
          </w:tcPr>
          <w:p>
            <w:r/>
            <w:r>
              <w:rPr>
                <w:b w:val="0"/>
                <w:sz w:val="17"/>
              </w:rPr>
              <w:t>Explicit scopes</w:t>
            </w:r>
          </w:p>
        </w:tc>
        <w:tc>
          <w:tcPr>
            <w:tcW w:type="dxa" w:w="5904"/>
            <w:vAlign w:val="center"/>
          </w:tcPr>
          <w:p>
            <w:r/>
            <w:r>
              <w:rPr>
                <w:b w:val="0"/>
                <w:sz w:val="17"/>
              </w:rPr>
              <w:t>Machine access restricted by tenant, key, IP/domain and scopes.</w:t>
            </w:r>
          </w:p>
        </w:tc>
      </w:tr>
    </w:tbl>
    <w:p>
      <w:pPr>
        <w:widowControl/>
      </w:pPr>
    </w:p>
    <w:p>
      <w:pPr>
        <w:pStyle w:val="Heading1"/>
        <w:widowControl/>
      </w:pPr>
      <w:r>
        <w:t>6. Target system architecture</w:t>
      </w:r>
    </w:p>
    <w:p>
      <w:pPr>
        <w:pStyle w:val="Heading2"/>
        <w:widowControl/>
      </w:pPr>
      <w:r>
        <w:t>6.1 Logical components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376"/>
            <w:shd w:fill="17365D"/>
            <w:vAlign w:val="center"/>
          </w:tcPr>
          <w:p>
            <w:r/>
            <w:r>
              <w:rPr>
                <w:b/>
                <w:color w:val="FFFFFF"/>
                <w:sz w:val="18"/>
              </w:rPr>
              <w:t>Component</w:t>
            </w:r>
          </w:p>
        </w:tc>
        <w:tc>
          <w:tcPr>
            <w:tcW w:type="dxa" w:w="7632"/>
            <w:shd w:fill="17365D"/>
            <w:vAlign w:val="center"/>
          </w:tcPr>
          <w:p>
            <w:r/>
            <w:r>
              <w:rPr>
                <w:b/>
                <w:color w:val="FFFFFF"/>
                <w:sz w:val="18"/>
              </w:rPr>
              <w:t>Responsibility</w:t>
            </w:r>
          </w:p>
        </w:tc>
      </w:tr>
      <w:tr>
        <w:tc>
          <w:tcPr>
            <w:tcW w:type="dxa" w:w="2376"/>
            <w:vAlign w:val="center"/>
          </w:tcPr>
          <w:p>
            <w:r/>
            <w:r>
              <w:rPr>
                <w:b w:val="0"/>
                <w:sz w:val="17"/>
              </w:rPr>
              <w:t>Public Widget CDN</w:t>
            </w:r>
          </w:p>
        </w:tc>
        <w:tc>
          <w:tcPr>
            <w:tcW w:type="dxa" w:w="7632"/>
            <w:vAlign w:val="center"/>
          </w:tcPr>
          <w:p>
            <w:r/>
            <w:r>
              <w:rPr>
                <w:b w:val="0"/>
                <w:sz w:val="17"/>
              </w:rPr>
              <w:t>Loads lightweight JavaScript, theme and localisation; contains no secret keys.</w:t>
            </w:r>
          </w:p>
        </w:tc>
      </w:tr>
      <w:tr>
        <w:tc>
          <w:tcPr>
            <w:tcW w:type="dxa" w:w="2376"/>
            <w:vAlign w:val="center"/>
            <w:shd w:fill="EAF2F8"/>
          </w:tcPr>
          <w:p>
            <w:r/>
            <w:r>
              <w:rPr>
                <w:b w:val="0"/>
                <w:sz w:val="17"/>
              </w:rPr>
              <w:t>Widget Gateway API</w:t>
            </w:r>
          </w:p>
        </w:tc>
        <w:tc>
          <w:tcPr>
            <w:tcW w:type="dxa" w:w="7632"/>
            <w:vAlign w:val="center"/>
            <w:shd w:fill="EAF2F8"/>
          </w:tcPr>
          <w:p>
            <w:r/>
            <w:r>
              <w:rPr>
                <w:b w:val="0"/>
                <w:sz w:val="17"/>
              </w:rPr>
              <w:t>Validates tenant key, allowed domain, rate limit and conversation session.</w:t>
            </w:r>
          </w:p>
        </w:tc>
      </w:tr>
      <w:tr>
        <w:tc>
          <w:tcPr>
            <w:tcW w:type="dxa" w:w="2376"/>
            <w:vAlign w:val="center"/>
          </w:tcPr>
          <w:p>
            <w:r/>
            <w:r>
              <w:rPr>
                <w:b w:val="0"/>
                <w:sz w:val="17"/>
              </w:rPr>
              <w:t>Laravel SaaS Core</w:t>
            </w:r>
          </w:p>
        </w:tc>
        <w:tc>
          <w:tcPr>
            <w:tcW w:type="dxa" w:w="7632"/>
            <w:vAlign w:val="center"/>
          </w:tcPr>
          <w:p>
            <w:r/>
            <w:r>
              <w:rPr>
                <w:b w:val="0"/>
                <w:sz w:val="17"/>
              </w:rPr>
              <w:t>Authentication, tenancy, CRUD, workflows, billing, APIs and authorisation.</w:t>
            </w:r>
          </w:p>
        </w:tc>
      </w:tr>
      <w:tr>
        <w:tc>
          <w:tcPr>
            <w:tcW w:type="dxa" w:w="2376"/>
            <w:vAlign w:val="center"/>
            <w:shd w:fill="EAF2F8"/>
          </w:tcPr>
          <w:p>
            <w:r/>
            <w:r>
              <w:rPr>
                <w:b w:val="0"/>
                <w:sz w:val="17"/>
              </w:rPr>
              <w:t>Conversation Service</w:t>
            </w:r>
          </w:p>
        </w:tc>
        <w:tc>
          <w:tcPr>
            <w:tcW w:type="dxa" w:w="7632"/>
            <w:vAlign w:val="center"/>
            <w:shd w:fill="EAF2F8"/>
          </w:tcPr>
          <w:p>
            <w:r/>
            <w:r>
              <w:rPr>
                <w:b w:val="0"/>
                <w:sz w:val="17"/>
              </w:rPr>
              <w:t>Sessions, messages, status, presence, handover and delivery state.</w:t>
            </w:r>
          </w:p>
        </w:tc>
      </w:tr>
      <w:tr>
        <w:tc>
          <w:tcPr>
            <w:tcW w:type="dxa" w:w="2376"/>
            <w:vAlign w:val="center"/>
          </w:tcPr>
          <w:p>
            <w:r/>
            <w:r>
              <w:rPr>
                <w:b w:val="0"/>
                <w:sz w:val="17"/>
              </w:rPr>
              <w:t>AI Orchestrator</w:t>
            </w:r>
          </w:p>
        </w:tc>
        <w:tc>
          <w:tcPr>
            <w:tcW w:type="dxa" w:w="7632"/>
            <w:vAlign w:val="center"/>
          </w:tcPr>
          <w:p>
            <w:r/>
            <w:r>
              <w:rPr>
                <w:b w:val="0"/>
                <w:sz w:val="17"/>
              </w:rPr>
              <w:t>Prompt construction, model routing, tool requests, safety and fallbacks.</w:t>
            </w:r>
          </w:p>
        </w:tc>
      </w:tr>
      <w:tr>
        <w:tc>
          <w:tcPr>
            <w:tcW w:type="dxa" w:w="2376"/>
            <w:vAlign w:val="center"/>
            <w:shd w:fill="EAF2F8"/>
          </w:tcPr>
          <w:p>
            <w:r/>
            <w:r>
              <w:rPr>
                <w:b w:val="0"/>
                <w:sz w:val="17"/>
              </w:rPr>
              <w:t>Knowledge Service</w:t>
            </w:r>
          </w:p>
        </w:tc>
        <w:tc>
          <w:tcPr>
            <w:tcW w:type="dxa" w:w="7632"/>
            <w:vAlign w:val="center"/>
            <w:shd w:fill="EAF2F8"/>
          </w:tcPr>
          <w:p>
            <w:r/>
            <w:r>
              <w:rPr>
                <w:b w:val="0"/>
                <w:sz w:val="17"/>
              </w:rPr>
              <w:t>Tenant-approved structured data and retrieval-index management.</w:t>
            </w:r>
          </w:p>
        </w:tc>
      </w:tr>
      <w:tr>
        <w:tc>
          <w:tcPr>
            <w:tcW w:type="dxa" w:w="2376"/>
            <w:vAlign w:val="center"/>
          </w:tcPr>
          <w:p>
            <w:r/>
            <w:r>
              <w:rPr>
                <w:b w:val="0"/>
                <w:sz w:val="17"/>
              </w:rPr>
              <w:t>Rules Engine</w:t>
            </w:r>
          </w:p>
        </w:tc>
        <w:tc>
          <w:tcPr>
            <w:tcW w:type="dxa" w:w="7632"/>
            <w:vAlign w:val="center"/>
          </w:tcPr>
          <w:p>
            <w:r/>
            <w:r>
              <w:rPr>
                <w:b w:val="0"/>
                <w:sz w:val="17"/>
              </w:rPr>
              <w:t>Deterministic eligibility, routing, lead scoring and action prerequisites.</w:t>
            </w:r>
          </w:p>
        </w:tc>
      </w:tr>
      <w:tr>
        <w:tc>
          <w:tcPr>
            <w:tcW w:type="dxa" w:w="2376"/>
            <w:vAlign w:val="center"/>
            <w:shd w:fill="EAF2F8"/>
          </w:tcPr>
          <w:p>
            <w:r/>
            <w:r>
              <w:rPr>
                <w:b w:val="0"/>
                <w:sz w:val="17"/>
              </w:rPr>
              <w:t>Integration Layer</w:t>
            </w:r>
          </w:p>
        </w:tc>
        <w:tc>
          <w:tcPr>
            <w:tcW w:type="dxa" w:w="7632"/>
            <w:vAlign w:val="center"/>
            <w:shd w:fill="EAF2F8"/>
          </w:tcPr>
          <w:p>
            <w:r/>
            <w:r>
              <w:rPr>
                <w:b w:val="0"/>
                <w:sz w:val="17"/>
              </w:rPr>
              <w:t>Email, WhatsApp, SMS, payment, calendar, CRM and webhooks.</w:t>
            </w:r>
          </w:p>
        </w:tc>
      </w:tr>
      <w:tr>
        <w:tc>
          <w:tcPr>
            <w:tcW w:type="dxa" w:w="2376"/>
            <w:vAlign w:val="center"/>
          </w:tcPr>
          <w:p>
            <w:r/>
            <w:r>
              <w:rPr>
                <w:b w:val="0"/>
                <w:sz w:val="17"/>
              </w:rPr>
              <w:t>Queue/Worker Layer</w:t>
            </w:r>
          </w:p>
        </w:tc>
        <w:tc>
          <w:tcPr>
            <w:tcW w:type="dxa" w:w="7632"/>
            <w:vAlign w:val="center"/>
          </w:tcPr>
          <w:p>
            <w:r/>
            <w:r>
              <w:rPr>
                <w:b w:val="0"/>
                <w:sz w:val="17"/>
              </w:rPr>
              <w:t>AI calls, notifications, embeddings, summaries, imports and retries.</w:t>
            </w:r>
          </w:p>
        </w:tc>
      </w:tr>
      <w:tr>
        <w:tc>
          <w:tcPr>
            <w:tcW w:type="dxa" w:w="2376"/>
            <w:vAlign w:val="center"/>
            <w:shd w:fill="EAF2F8"/>
          </w:tcPr>
          <w:p>
            <w:r/>
            <w:r>
              <w:rPr>
                <w:b w:val="0"/>
                <w:sz w:val="17"/>
              </w:rPr>
              <w:t>Real-time Layer</w:t>
            </w:r>
          </w:p>
        </w:tc>
        <w:tc>
          <w:tcPr>
            <w:tcW w:type="dxa" w:w="7632"/>
            <w:vAlign w:val="center"/>
            <w:shd w:fill="EAF2F8"/>
          </w:tcPr>
          <w:p>
            <w:r/>
            <w:r>
              <w:rPr>
                <w:b w:val="0"/>
                <w:sz w:val="17"/>
              </w:rPr>
              <w:t>Agent dashboard updates, typing/presence and takeover events.</w:t>
            </w:r>
          </w:p>
        </w:tc>
      </w:tr>
      <w:tr>
        <w:tc>
          <w:tcPr>
            <w:tcW w:type="dxa" w:w="2376"/>
            <w:vAlign w:val="center"/>
          </w:tcPr>
          <w:p>
            <w:r/>
            <w:r>
              <w:rPr>
                <w:b w:val="0"/>
                <w:sz w:val="17"/>
              </w:rPr>
              <w:t>Storage Layer</w:t>
            </w:r>
          </w:p>
        </w:tc>
        <w:tc>
          <w:tcPr>
            <w:tcW w:type="dxa" w:w="7632"/>
            <w:vAlign w:val="center"/>
          </w:tcPr>
          <w:p>
            <w:r/>
            <w:r>
              <w:rPr>
                <w:b w:val="0"/>
                <w:sz w:val="17"/>
              </w:rPr>
              <w:t>MySQL, Redis, object storage and encrypted secrets.</w:t>
            </w:r>
          </w:p>
        </w:tc>
      </w:tr>
      <w:tr>
        <w:tc>
          <w:tcPr>
            <w:tcW w:type="dxa" w:w="2376"/>
            <w:vAlign w:val="center"/>
            <w:shd w:fill="EAF2F8"/>
          </w:tcPr>
          <w:p>
            <w:r/>
            <w:r>
              <w:rPr>
                <w:b w:val="0"/>
                <w:sz w:val="17"/>
              </w:rPr>
              <w:t>Observability Layer</w:t>
            </w:r>
          </w:p>
        </w:tc>
        <w:tc>
          <w:tcPr>
            <w:tcW w:type="dxa" w:w="7632"/>
            <w:vAlign w:val="center"/>
            <w:shd w:fill="EAF2F8"/>
          </w:tcPr>
          <w:p>
            <w:r/>
            <w:r>
              <w:rPr>
                <w:b w:val="0"/>
                <w:sz w:val="17"/>
              </w:rPr>
              <w:t>Logs, metrics, errors, usage, cost and security events.</w:t>
            </w:r>
          </w:p>
        </w:tc>
      </w:tr>
    </w:tbl>
    <w:p>
      <w:pPr>
        <w:widowControl/>
      </w:pPr>
    </w:p>
    <w:p>
      <w:pPr>
        <w:pStyle w:val="Heading2"/>
        <w:widowControl/>
      </w:pPr>
      <w:r>
        <w:t>6.2 Recommended technology stack</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800"/>
            <w:shd w:fill="17365D"/>
            <w:vAlign w:val="center"/>
          </w:tcPr>
          <w:p>
            <w:r/>
            <w:r>
              <w:rPr>
                <w:b/>
                <w:color w:val="FFFFFF"/>
                <w:sz w:val="18"/>
              </w:rPr>
              <w:t>Layer</w:t>
            </w:r>
          </w:p>
        </w:tc>
        <w:tc>
          <w:tcPr>
            <w:tcW w:type="dxa" w:w="2880"/>
            <w:shd w:fill="17365D"/>
            <w:vAlign w:val="center"/>
          </w:tcPr>
          <w:p>
            <w:r/>
            <w:r>
              <w:rPr>
                <w:b/>
                <w:color w:val="FFFFFF"/>
                <w:sz w:val="18"/>
              </w:rPr>
              <w:t>Recommended choice</w:t>
            </w:r>
          </w:p>
        </w:tc>
        <w:tc>
          <w:tcPr>
            <w:tcW w:type="dxa" w:w="5472"/>
            <w:shd w:fill="17365D"/>
            <w:vAlign w:val="center"/>
          </w:tcPr>
          <w:p>
            <w:r/>
            <w:r>
              <w:rPr>
                <w:b/>
                <w:color w:val="FFFFFF"/>
                <w:sz w:val="18"/>
              </w:rPr>
              <w:t>Reason</w:t>
            </w:r>
          </w:p>
        </w:tc>
      </w:tr>
      <w:tr>
        <w:tc>
          <w:tcPr>
            <w:tcW w:type="dxa" w:w="1800"/>
            <w:vAlign w:val="center"/>
          </w:tcPr>
          <w:p>
            <w:r/>
            <w:r>
              <w:rPr>
                <w:b w:val="0"/>
                <w:sz w:val="17"/>
              </w:rPr>
              <w:t>Backend</w:t>
            </w:r>
          </w:p>
        </w:tc>
        <w:tc>
          <w:tcPr>
            <w:tcW w:type="dxa" w:w="2880"/>
            <w:vAlign w:val="center"/>
          </w:tcPr>
          <w:p>
            <w:r/>
            <w:r>
              <w:rPr>
                <w:b w:val="0"/>
                <w:sz w:val="17"/>
              </w:rPr>
              <w:t>Laravel (current supported release)</w:t>
            </w:r>
          </w:p>
        </w:tc>
        <w:tc>
          <w:tcPr>
            <w:tcW w:type="dxa" w:w="5472"/>
            <w:vAlign w:val="center"/>
          </w:tcPr>
          <w:p>
            <w:r/>
            <w:r>
              <w:rPr>
                <w:b w:val="0"/>
                <w:sz w:val="17"/>
              </w:rPr>
              <w:t>Strong authentication, queues, jobs, validation, policies, notifications and ecosystem.</w:t>
            </w:r>
          </w:p>
        </w:tc>
      </w:tr>
      <w:tr>
        <w:tc>
          <w:tcPr>
            <w:tcW w:type="dxa" w:w="1800"/>
            <w:vAlign w:val="center"/>
            <w:shd w:fill="EAF2F8"/>
          </w:tcPr>
          <w:p>
            <w:r/>
            <w:r>
              <w:rPr>
                <w:b w:val="0"/>
                <w:sz w:val="17"/>
              </w:rPr>
              <w:t>Database</w:t>
            </w:r>
          </w:p>
        </w:tc>
        <w:tc>
          <w:tcPr>
            <w:tcW w:type="dxa" w:w="2880"/>
            <w:vAlign w:val="center"/>
            <w:shd w:fill="EAF2F8"/>
          </w:tcPr>
          <w:p>
            <w:r/>
            <w:r>
              <w:rPr>
                <w:b w:val="0"/>
                <w:sz w:val="17"/>
              </w:rPr>
              <w:t>MySQL 8+ / compatible managed MySQL</w:t>
            </w:r>
          </w:p>
        </w:tc>
        <w:tc>
          <w:tcPr>
            <w:tcW w:type="dxa" w:w="5472"/>
            <w:vAlign w:val="center"/>
            <w:shd w:fill="EAF2F8"/>
          </w:tcPr>
          <w:p>
            <w:r/>
            <w:r>
              <w:rPr>
                <w:b w:val="0"/>
                <w:sz w:val="17"/>
              </w:rPr>
              <w:t>Widely supported on VPS, cloud and cPanel; transactional and familiar.</w:t>
            </w:r>
          </w:p>
        </w:tc>
      </w:tr>
      <w:tr>
        <w:tc>
          <w:tcPr>
            <w:tcW w:type="dxa" w:w="1800"/>
            <w:vAlign w:val="center"/>
          </w:tcPr>
          <w:p>
            <w:r/>
            <w:r>
              <w:rPr>
                <w:b w:val="0"/>
                <w:sz w:val="17"/>
              </w:rPr>
              <w:t>Cache/queues</w:t>
            </w:r>
          </w:p>
        </w:tc>
        <w:tc>
          <w:tcPr>
            <w:tcW w:type="dxa" w:w="2880"/>
            <w:vAlign w:val="center"/>
          </w:tcPr>
          <w:p>
            <w:r/>
            <w:r>
              <w:rPr>
                <w:b w:val="0"/>
                <w:sz w:val="17"/>
              </w:rPr>
              <w:t>Redis</w:t>
            </w:r>
          </w:p>
        </w:tc>
        <w:tc>
          <w:tcPr>
            <w:tcW w:type="dxa" w:w="5472"/>
            <w:vAlign w:val="center"/>
          </w:tcPr>
          <w:p>
            <w:r/>
            <w:r>
              <w:rPr>
                <w:b w:val="0"/>
                <w:sz w:val="17"/>
              </w:rPr>
              <w:t>Session/cache, queues, rate limiting and real-time support.</w:t>
            </w:r>
          </w:p>
        </w:tc>
      </w:tr>
      <w:tr>
        <w:tc>
          <w:tcPr>
            <w:tcW w:type="dxa" w:w="1800"/>
            <w:vAlign w:val="center"/>
            <w:shd w:fill="EAF2F8"/>
          </w:tcPr>
          <w:p>
            <w:r/>
            <w:r>
              <w:rPr>
                <w:b w:val="0"/>
                <w:sz w:val="17"/>
              </w:rPr>
              <w:t>Real-time</w:t>
            </w:r>
          </w:p>
        </w:tc>
        <w:tc>
          <w:tcPr>
            <w:tcW w:type="dxa" w:w="2880"/>
            <w:vAlign w:val="center"/>
            <w:shd w:fill="EAF2F8"/>
          </w:tcPr>
          <w:p>
            <w:r/>
            <w:r>
              <w:rPr>
                <w:b w:val="0"/>
                <w:sz w:val="17"/>
              </w:rPr>
              <w:t>Laravel Reverb/WebSockets</w:t>
            </w:r>
          </w:p>
        </w:tc>
        <w:tc>
          <w:tcPr>
            <w:tcW w:type="dxa" w:w="5472"/>
            <w:vAlign w:val="center"/>
            <w:shd w:fill="EAF2F8"/>
          </w:tcPr>
          <w:p>
            <w:r/>
            <w:r>
              <w:rPr>
                <w:b w:val="0"/>
                <w:sz w:val="17"/>
              </w:rPr>
              <w:t>Agent dashboard and live conversation events.</w:t>
            </w:r>
          </w:p>
        </w:tc>
      </w:tr>
      <w:tr>
        <w:tc>
          <w:tcPr>
            <w:tcW w:type="dxa" w:w="1800"/>
            <w:vAlign w:val="center"/>
          </w:tcPr>
          <w:p>
            <w:r/>
            <w:r>
              <w:rPr>
                <w:b w:val="0"/>
                <w:sz w:val="17"/>
              </w:rPr>
              <w:t>Tenant dashboard</w:t>
            </w:r>
          </w:p>
        </w:tc>
        <w:tc>
          <w:tcPr>
            <w:tcW w:type="dxa" w:w="2880"/>
            <w:vAlign w:val="center"/>
          </w:tcPr>
          <w:p>
            <w:r/>
            <w:r>
              <w:rPr>
                <w:b w:val="0"/>
                <w:sz w:val="17"/>
              </w:rPr>
              <w:t>Blade + Livewire initially</w:t>
            </w:r>
          </w:p>
        </w:tc>
        <w:tc>
          <w:tcPr>
            <w:tcW w:type="dxa" w:w="5472"/>
            <w:vAlign w:val="center"/>
          </w:tcPr>
          <w:p>
            <w:r/>
            <w:r>
              <w:rPr>
                <w:b w:val="0"/>
                <w:sz w:val="17"/>
              </w:rPr>
              <w:t>Faster delivery and simpler maintenance than separate SPA.</w:t>
            </w:r>
          </w:p>
        </w:tc>
      </w:tr>
      <w:tr>
        <w:tc>
          <w:tcPr>
            <w:tcW w:type="dxa" w:w="1800"/>
            <w:vAlign w:val="center"/>
            <w:shd w:fill="EAF2F8"/>
          </w:tcPr>
          <w:p>
            <w:r/>
            <w:r>
              <w:rPr>
                <w:b w:val="0"/>
                <w:sz w:val="17"/>
              </w:rPr>
              <w:t>Public widget</w:t>
            </w:r>
          </w:p>
        </w:tc>
        <w:tc>
          <w:tcPr>
            <w:tcW w:type="dxa" w:w="2880"/>
            <w:vAlign w:val="center"/>
            <w:shd w:fill="EAF2F8"/>
          </w:tcPr>
          <w:p>
            <w:r/>
            <w:r>
              <w:rPr>
                <w:b w:val="0"/>
                <w:sz w:val="17"/>
              </w:rPr>
              <w:t>Vanilla TypeScript/JavaScript bundle</w:t>
            </w:r>
          </w:p>
        </w:tc>
        <w:tc>
          <w:tcPr>
            <w:tcW w:type="dxa" w:w="5472"/>
            <w:vAlign w:val="center"/>
            <w:shd w:fill="EAF2F8"/>
          </w:tcPr>
          <w:p>
            <w:r/>
            <w:r>
              <w:rPr>
                <w:b w:val="0"/>
                <w:sz w:val="17"/>
              </w:rPr>
              <w:t>Framework-neutral embed for PHP, WordPress, React, Django and static sites.</w:t>
            </w:r>
          </w:p>
        </w:tc>
      </w:tr>
      <w:tr>
        <w:tc>
          <w:tcPr>
            <w:tcW w:type="dxa" w:w="1800"/>
            <w:vAlign w:val="center"/>
          </w:tcPr>
          <w:p>
            <w:r/>
            <w:r>
              <w:rPr>
                <w:b w:val="0"/>
                <w:sz w:val="17"/>
              </w:rPr>
              <w:t>Storage</w:t>
            </w:r>
          </w:p>
        </w:tc>
        <w:tc>
          <w:tcPr>
            <w:tcW w:type="dxa" w:w="2880"/>
            <w:vAlign w:val="center"/>
          </w:tcPr>
          <w:p>
            <w:r/>
            <w:r>
              <w:rPr>
                <w:b w:val="0"/>
                <w:sz w:val="17"/>
              </w:rPr>
              <w:t>S3-compatible object storage</w:t>
            </w:r>
          </w:p>
        </w:tc>
        <w:tc>
          <w:tcPr>
            <w:tcW w:type="dxa" w:w="5472"/>
            <w:vAlign w:val="center"/>
          </w:tcPr>
          <w:p>
            <w:r/>
            <w:r>
              <w:rPr>
                <w:b w:val="0"/>
                <w:sz w:val="17"/>
              </w:rPr>
              <w:t>Portable documents, exports and tenant assets.</w:t>
            </w:r>
          </w:p>
        </w:tc>
      </w:tr>
      <w:tr>
        <w:tc>
          <w:tcPr>
            <w:tcW w:type="dxa" w:w="1800"/>
            <w:vAlign w:val="center"/>
            <w:shd w:fill="EAF2F8"/>
          </w:tcPr>
          <w:p>
            <w:r/>
            <w:r>
              <w:rPr>
                <w:b w:val="0"/>
                <w:sz w:val="17"/>
              </w:rPr>
              <w:t>Search/RAG</w:t>
            </w:r>
          </w:p>
        </w:tc>
        <w:tc>
          <w:tcPr>
            <w:tcW w:type="dxa" w:w="2880"/>
            <w:vAlign w:val="center"/>
            <w:shd w:fill="EAF2F8"/>
          </w:tcPr>
          <w:p>
            <w:r/>
            <w:r>
              <w:rPr>
                <w:b w:val="0"/>
                <w:sz w:val="17"/>
              </w:rPr>
              <w:t>MySQL full text initially; vector service later</w:t>
            </w:r>
          </w:p>
        </w:tc>
        <w:tc>
          <w:tcPr>
            <w:tcW w:type="dxa" w:w="5472"/>
            <w:vAlign w:val="center"/>
            <w:shd w:fill="EAF2F8"/>
          </w:tcPr>
          <w:p>
            <w:r/>
            <w:r>
              <w:rPr>
                <w:b w:val="0"/>
                <w:sz w:val="17"/>
              </w:rPr>
              <w:t>Avoid premature complexity; add vector search when content volume requires it.</w:t>
            </w:r>
          </w:p>
        </w:tc>
      </w:tr>
      <w:tr>
        <w:tc>
          <w:tcPr>
            <w:tcW w:type="dxa" w:w="1800"/>
            <w:vAlign w:val="center"/>
          </w:tcPr>
          <w:p>
            <w:r/>
            <w:r>
              <w:rPr>
                <w:b w:val="0"/>
                <w:sz w:val="17"/>
              </w:rPr>
              <w:t>AI</w:t>
            </w:r>
          </w:p>
        </w:tc>
        <w:tc>
          <w:tcPr>
            <w:tcW w:type="dxa" w:w="2880"/>
            <w:vAlign w:val="center"/>
          </w:tcPr>
          <w:p>
            <w:r/>
            <w:r>
              <w:rPr>
                <w:b w:val="0"/>
                <w:sz w:val="17"/>
              </w:rPr>
              <w:t>OpenAI adapter first</w:t>
            </w:r>
          </w:p>
        </w:tc>
        <w:tc>
          <w:tcPr>
            <w:tcW w:type="dxa" w:w="5472"/>
            <w:vAlign w:val="center"/>
          </w:tcPr>
          <w:p>
            <w:r/>
            <w:r>
              <w:rPr>
                <w:b w:val="0"/>
                <w:sz w:val="17"/>
              </w:rPr>
              <w:t>One stable initial implementation; add providers through common interface.</w:t>
            </w:r>
          </w:p>
        </w:tc>
      </w:tr>
      <w:tr>
        <w:tc>
          <w:tcPr>
            <w:tcW w:type="dxa" w:w="1800"/>
            <w:vAlign w:val="center"/>
            <w:shd w:fill="EAF2F8"/>
          </w:tcPr>
          <w:p>
            <w:r/>
            <w:r>
              <w:rPr>
                <w:b w:val="0"/>
                <w:sz w:val="17"/>
              </w:rPr>
              <w:t>Infrastructure</w:t>
            </w:r>
          </w:p>
        </w:tc>
        <w:tc>
          <w:tcPr>
            <w:tcW w:type="dxa" w:w="2880"/>
            <w:vAlign w:val="center"/>
            <w:shd w:fill="EAF2F8"/>
          </w:tcPr>
          <w:p>
            <w:r/>
            <w:r>
              <w:rPr>
                <w:b w:val="0"/>
                <w:sz w:val="17"/>
              </w:rPr>
              <w:t>Docker-supported VPS/cloud deployment</w:t>
            </w:r>
          </w:p>
        </w:tc>
        <w:tc>
          <w:tcPr>
            <w:tcW w:type="dxa" w:w="5472"/>
            <w:vAlign w:val="center"/>
            <w:shd w:fill="EAF2F8"/>
          </w:tcPr>
          <w:p>
            <w:r/>
            <w:r>
              <w:rPr>
                <w:b w:val="0"/>
                <w:sz w:val="17"/>
              </w:rPr>
              <w:t>Portable and reproducible; cPanel compatibility remains secondary.</w:t>
            </w:r>
          </w:p>
        </w:tc>
      </w:tr>
    </w:tbl>
    <w:p>
      <w:pPr>
        <w:widowControl/>
      </w:pPr>
    </w:p>
    <w:p>
      <w:pPr>
        <w:pStyle w:val="Heading1"/>
        <w:widowControl/>
      </w:pPr>
      <w:r>
        <w:t>7. Multi-tenancy design</w:t>
      </w:r>
    </w:p>
    <w:p>
      <w:pPr>
        <w:widowControl/>
      </w:pPr>
      <w:r>
        <w:t>Version 1 will use one application and one primary database with tenant-scoped tables. Every tenant-owned table must include tenant_id. Tenant resolution occurs from authenticated user membership, widget public key, API credential or approved domain mapping.</w:t>
      </w:r>
    </w:p>
    <w:p>
      <w:pPr>
        <w:pStyle w:val="ListBullet"/>
        <w:widowControl/>
      </w:pPr>
      <w:r>
        <w:t>Global scopes or repository-level tenant filters must be applied consistently.</w:t>
      </w:r>
    </w:p>
    <w:p>
      <w:pPr>
        <w:pStyle w:val="ListBullet"/>
        <w:widowControl/>
      </w:pPr>
      <w:r>
        <w:t>Authorisation policies must verify tenant ownership even when a record ID is known.</w:t>
      </w:r>
    </w:p>
    <w:p>
      <w:pPr>
        <w:pStyle w:val="ListBullet"/>
        <w:widowControl/>
      </w:pPr>
      <w:r>
        <w:t>Unique indexes should normally include tenant_id, for example (tenant_id, slug).</w:t>
      </w:r>
    </w:p>
    <w:p>
      <w:pPr>
        <w:pStyle w:val="ListBullet"/>
        <w:widowControl/>
      </w:pPr>
      <w:r>
        <w:t>Cache keys, queue payloads, exports, logs and object-storage paths must also be tenant-scoped.</w:t>
      </w:r>
    </w:p>
    <w:p>
      <w:pPr>
        <w:pStyle w:val="ListBullet"/>
        <w:widowControl/>
      </w:pPr>
      <w:r>
        <w:t>Cross-tenant analytics must be available only to platform roles.</w:t>
      </w:r>
    </w:p>
    <w:p>
      <w:pPr>
        <w:pStyle w:val="ListBullet"/>
        <w:widowControl/>
      </w:pPr>
      <w:r>
        <w:t>Enterprise tenants may later be migrated to isolated databases without changing the business interfaces.</w:t>
      </w:r>
    </w:p>
    <w:p>
      <w:pPr>
        <w:pStyle w:val="CodeBlock"/>
        <w:widowControl/>
      </w:pPr>
      <w:r>
        <w:t>Tenant resolution order:</w:t>
        <w:br/>
        <w:t>1. Authenticated tenant membership</w:t>
        <w:br/>
        <w:t>2. Widget public key + verified Origin/Referer</w:t>
        <w:br/>
        <w:t>3. Scoped API key</w:t>
        <w:br/>
        <w:t>4. Signed platform support context</w:t>
        <w:br/>
        <w:t>Never accept tenant_id directly from an untrusted browser request as authority.</w:t>
      </w:r>
    </w:p>
    <w:p>
      <w:pPr>
        <w:pStyle w:val="Heading1"/>
        <w:widowControl/>
      </w:pPr>
      <w:r>
        <w:t>8. Database blueprint</w:t>
      </w:r>
    </w:p>
    <w:p>
      <w:pPr>
        <w:widowControl/>
      </w:pPr>
      <w:r>
        <w:t>The following is the canonical entity map. Exact column types may evolve through reviewed migrations, but table purpose, tenancy and relationships must remain consistent.</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592"/>
            <w:shd w:fill="17365D"/>
            <w:vAlign w:val="center"/>
          </w:tcPr>
          <w:p>
            <w:r/>
            <w:r>
              <w:rPr>
                <w:b/>
                <w:color w:val="FFFFFF"/>
                <w:sz w:val="18"/>
              </w:rPr>
              <w:t>Table/entity</w:t>
            </w:r>
          </w:p>
        </w:tc>
        <w:tc>
          <w:tcPr>
            <w:tcW w:type="dxa" w:w="1440"/>
            <w:shd w:fill="17365D"/>
            <w:vAlign w:val="center"/>
          </w:tcPr>
          <w:p>
            <w:r/>
            <w:r>
              <w:rPr>
                <w:b/>
                <w:color w:val="FFFFFF"/>
                <w:sz w:val="18"/>
              </w:rPr>
              <w:t>Scope</w:t>
            </w:r>
          </w:p>
        </w:tc>
        <w:tc>
          <w:tcPr>
            <w:tcW w:type="dxa" w:w="6048"/>
            <w:shd w:fill="17365D"/>
            <w:vAlign w:val="center"/>
          </w:tcPr>
          <w:p>
            <w:r/>
            <w:r>
              <w:rPr>
                <w:b/>
                <w:color w:val="FFFFFF"/>
                <w:sz w:val="18"/>
              </w:rPr>
              <w:t>Purpose</w:t>
            </w:r>
          </w:p>
        </w:tc>
      </w:tr>
      <w:tr>
        <w:tc>
          <w:tcPr>
            <w:tcW w:type="dxa" w:w="2592"/>
            <w:vAlign w:val="center"/>
          </w:tcPr>
          <w:p>
            <w:r/>
            <w:r>
              <w:rPr>
                <w:b w:val="0"/>
                <w:sz w:val="17"/>
              </w:rPr>
              <w:t>tenants</w:t>
            </w:r>
          </w:p>
        </w:tc>
        <w:tc>
          <w:tcPr>
            <w:tcW w:type="dxa" w:w="1440"/>
            <w:vAlign w:val="center"/>
          </w:tcPr>
          <w:p>
            <w:r/>
            <w:r>
              <w:rPr>
                <w:b w:val="0"/>
                <w:sz w:val="17"/>
              </w:rPr>
              <w:t>Global</w:t>
            </w:r>
          </w:p>
        </w:tc>
        <w:tc>
          <w:tcPr>
            <w:tcW w:type="dxa" w:w="6048"/>
            <w:vAlign w:val="center"/>
          </w:tcPr>
          <w:p>
            <w:r/>
            <w:r>
              <w:rPr>
                <w:b w:val="0"/>
                <w:sz w:val="17"/>
              </w:rPr>
              <w:t>Organisation identity, status, industry template, timezone, locale.</w:t>
            </w:r>
          </w:p>
        </w:tc>
      </w:tr>
      <w:tr>
        <w:tc>
          <w:tcPr>
            <w:tcW w:type="dxa" w:w="2592"/>
            <w:vAlign w:val="center"/>
            <w:shd w:fill="EAF2F8"/>
          </w:tcPr>
          <w:p>
            <w:r/>
            <w:r>
              <w:rPr>
                <w:b w:val="0"/>
                <w:sz w:val="17"/>
              </w:rPr>
              <w:t>tenant_domains</w:t>
            </w:r>
          </w:p>
        </w:tc>
        <w:tc>
          <w:tcPr>
            <w:tcW w:type="dxa" w:w="1440"/>
            <w:vAlign w:val="center"/>
            <w:shd w:fill="EAF2F8"/>
          </w:tcPr>
          <w:p>
            <w:r/>
            <w:r>
              <w:rPr>
                <w:b w:val="0"/>
                <w:sz w:val="17"/>
              </w:rPr>
              <w:t>Tenant</w:t>
            </w:r>
          </w:p>
        </w:tc>
        <w:tc>
          <w:tcPr>
            <w:tcW w:type="dxa" w:w="6048"/>
            <w:vAlign w:val="center"/>
            <w:shd w:fill="EAF2F8"/>
          </w:tcPr>
          <w:p>
            <w:r/>
            <w:r>
              <w:rPr>
                <w:b w:val="0"/>
                <w:sz w:val="17"/>
              </w:rPr>
              <w:t>Approved websites/apps and verification status.</w:t>
            </w:r>
          </w:p>
        </w:tc>
      </w:tr>
      <w:tr>
        <w:tc>
          <w:tcPr>
            <w:tcW w:type="dxa" w:w="2592"/>
            <w:vAlign w:val="center"/>
          </w:tcPr>
          <w:p>
            <w:r/>
            <w:r>
              <w:rPr>
                <w:b w:val="0"/>
                <w:sz w:val="17"/>
              </w:rPr>
              <w:t>tenant_settings</w:t>
            </w:r>
          </w:p>
        </w:tc>
        <w:tc>
          <w:tcPr>
            <w:tcW w:type="dxa" w:w="1440"/>
            <w:vAlign w:val="center"/>
          </w:tcPr>
          <w:p>
            <w:r/>
            <w:r>
              <w:rPr>
                <w:b w:val="0"/>
                <w:sz w:val="17"/>
              </w:rPr>
              <w:t>Tenant</w:t>
            </w:r>
          </w:p>
        </w:tc>
        <w:tc>
          <w:tcPr>
            <w:tcW w:type="dxa" w:w="6048"/>
            <w:vAlign w:val="center"/>
          </w:tcPr>
          <w:p>
            <w:r/>
            <w:r>
              <w:rPr>
                <w:b w:val="0"/>
                <w:sz w:val="17"/>
              </w:rPr>
              <w:t>Branding, assistant, operating hours, consent and feature settings.</w:t>
            </w:r>
          </w:p>
        </w:tc>
      </w:tr>
      <w:tr>
        <w:tc>
          <w:tcPr>
            <w:tcW w:type="dxa" w:w="2592"/>
            <w:vAlign w:val="center"/>
            <w:shd w:fill="EAF2F8"/>
          </w:tcPr>
          <w:p>
            <w:r/>
            <w:r>
              <w:rPr>
                <w:b w:val="0"/>
                <w:sz w:val="17"/>
              </w:rPr>
              <w:t>users</w:t>
            </w:r>
          </w:p>
        </w:tc>
        <w:tc>
          <w:tcPr>
            <w:tcW w:type="dxa" w:w="1440"/>
            <w:vAlign w:val="center"/>
            <w:shd w:fill="EAF2F8"/>
          </w:tcPr>
          <w:p>
            <w:r/>
            <w:r>
              <w:rPr>
                <w:b w:val="0"/>
                <w:sz w:val="17"/>
              </w:rPr>
              <w:t>Global</w:t>
            </w:r>
          </w:p>
        </w:tc>
        <w:tc>
          <w:tcPr>
            <w:tcW w:type="dxa" w:w="6048"/>
            <w:vAlign w:val="center"/>
            <w:shd w:fill="EAF2F8"/>
          </w:tcPr>
          <w:p>
            <w:r/>
            <w:r>
              <w:rPr>
                <w:b w:val="0"/>
                <w:sz w:val="17"/>
              </w:rPr>
              <w:t>Authenticated platform users.</w:t>
            </w:r>
          </w:p>
        </w:tc>
      </w:tr>
      <w:tr>
        <w:tc>
          <w:tcPr>
            <w:tcW w:type="dxa" w:w="2592"/>
            <w:vAlign w:val="center"/>
          </w:tcPr>
          <w:p>
            <w:r/>
            <w:r>
              <w:rPr>
                <w:b w:val="0"/>
                <w:sz w:val="17"/>
              </w:rPr>
              <w:t>tenant_user</w:t>
            </w:r>
          </w:p>
        </w:tc>
        <w:tc>
          <w:tcPr>
            <w:tcW w:type="dxa" w:w="1440"/>
            <w:vAlign w:val="center"/>
          </w:tcPr>
          <w:p>
            <w:r/>
            <w:r>
              <w:rPr>
                <w:b w:val="0"/>
                <w:sz w:val="17"/>
              </w:rPr>
              <w:t>Tenant</w:t>
            </w:r>
          </w:p>
        </w:tc>
        <w:tc>
          <w:tcPr>
            <w:tcW w:type="dxa" w:w="6048"/>
            <w:vAlign w:val="center"/>
          </w:tcPr>
          <w:p>
            <w:r/>
            <w:r>
              <w:rPr>
                <w:b w:val="0"/>
                <w:sz w:val="17"/>
              </w:rPr>
              <w:t>Membership, role, branch and status.</w:t>
            </w:r>
          </w:p>
        </w:tc>
      </w:tr>
      <w:tr>
        <w:tc>
          <w:tcPr>
            <w:tcW w:type="dxa" w:w="2592"/>
            <w:vAlign w:val="center"/>
            <w:shd w:fill="EAF2F8"/>
          </w:tcPr>
          <w:p>
            <w:r/>
            <w:r>
              <w:rPr>
                <w:b w:val="0"/>
                <w:sz w:val="17"/>
              </w:rPr>
              <w:t>roles / permissions</w:t>
            </w:r>
          </w:p>
        </w:tc>
        <w:tc>
          <w:tcPr>
            <w:tcW w:type="dxa" w:w="1440"/>
            <w:vAlign w:val="center"/>
            <w:shd w:fill="EAF2F8"/>
          </w:tcPr>
          <w:p>
            <w:r/>
            <w:r>
              <w:rPr>
                <w:b w:val="0"/>
                <w:sz w:val="17"/>
              </w:rPr>
              <w:t>Global/Tenant</w:t>
            </w:r>
          </w:p>
        </w:tc>
        <w:tc>
          <w:tcPr>
            <w:tcW w:type="dxa" w:w="6048"/>
            <w:vAlign w:val="center"/>
            <w:shd w:fill="EAF2F8"/>
          </w:tcPr>
          <w:p>
            <w:r/>
            <w:r>
              <w:rPr>
                <w:b w:val="0"/>
                <w:sz w:val="17"/>
              </w:rPr>
              <w:t>Role-based and granular permission mapping.</w:t>
            </w:r>
          </w:p>
        </w:tc>
      </w:tr>
      <w:tr>
        <w:tc>
          <w:tcPr>
            <w:tcW w:type="dxa" w:w="2592"/>
            <w:vAlign w:val="center"/>
          </w:tcPr>
          <w:p>
            <w:r/>
            <w:r>
              <w:rPr>
                <w:b w:val="0"/>
                <w:sz w:val="17"/>
              </w:rPr>
              <w:t>plans</w:t>
            </w:r>
          </w:p>
        </w:tc>
        <w:tc>
          <w:tcPr>
            <w:tcW w:type="dxa" w:w="1440"/>
            <w:vAlign w:val="center"/>
          </w:tcPr>
          <w:p>
            <w:r/>
            <w:r>
              <w:rPr>
                <w:b w:val="0"/>
                <w:sz w:val="17"/>
              </w:rPr>
              <w:t>Global</w:t>
            </w:r>
          </w:p>
        </w:tc>
        <w:tc>
          <w:tcPr>
            <w:tcW w:type="dxa" w:w="6048"/>
            <w:vAlign w:val="center"/>
          </w:tcPr>
          <w:p>
            <w:r/>
            <w:r>
              <w:rPr>
                <w:b w:val="0"/>
                <w:sz w:val="17"/>
              </w:rPr>
              <w:t>Commercial plan definitions.</w:t>
            </w:r>
          </w:p>
        </w:tc>
      </w:tr>
      <w:tr>
        <w:tc>
          <w:tcPr>
            <w:tcW w:type="dxa" w:w="2592"/>
            <w:vAlign w:val="center"/>
            <w:shd w:fill="EAF2F8"/>
          </w:tcPr>
          <w:p>
            <w:r/>
            <w:r>
              <w:rPr>
                <w:b w:val="0"/>
                <w:sz w:val="17"/>
              </w:rPr>
              <w:t>subscriptions</w:t>
            </w:r>
          </w:p>
        </w:tc>
        <w:tc>
          <w:tcPr>
            <w:tcW w:type="dxa" w:w="1440"/>
            <w:vAlign w:val="center"/>
            <w:shd w:fill="EAF2F8"/>
          </w:tcPr>
          <w:p>
            <w:r/>
            <w:r>
              <w:rPr>
                <w:b w:val="0"/>
                <w:sz w:val="17"/>
              </w:rPr>
              <w:t>Tenant</w:t>
            </w:r>
          </w:p>
        </w:tc>
        <w:tc>
          <w:tcPr>
            <w:tcW w:type="dxa" w:w="6048"/>
            <w:vAlign w:val="center"/>
            <w:shd w:fill="EAF2F8"/>
          </w:tcPr>
          <w:p>
            <w:r/>
            <w:r>
              <w:rPr>
                <w:b w:val="0"/>
                <w:sz w:val="17"/>
              </w:rPr>
              <w:t>Plan, billing cycle, start, expiry, grace and suspension state.</w:t>
            </w:r>
          </w:p>
        </w:tc>
      </w:tr>
      <w:tr>
        <w:tc>
          <w:tcPr>
            <w:tcW w:type="dxa" w:w="2592"/>
            <w:vAlign w:val="center"/>
          </w:tcPr>
          <w:p>
            <w:r/>
            <w:r>
              <w:rPr>
                <w:b w:val="0"/>
                <w:sz w:val="17"/>
              </w:rPr>
              <w:t>feature_entitlements</w:t>
            </w:r>
          </w:p>
        </w:tc>
        <w:tc>
          <w:tcPr>
            <w:tcW w:type="dxa" w:w="1440"/>
            <w:vAlign w:val="center"/>
          </w:tcPr>
          <w:p>
            <w:r/>
            <w:r>
              <w:rPr>
                <w:b w:val="0"/>
                <w:sz w:val="17"/>
              </w:rPr>
              <w:t>Tenant</w:t>
            </w:r>
          </w:p>
        </w:tc>
        <w:tc>
          <w:tcPr>
            <w:tcW w:type="dxa" w:w="6048"/>
            <w:vAlign w:val="center"/>
          </w:tcPr>
          <w:p>
            <w:r/>
            <w:r>
              <w:rPr>
                <w:b w:val="0"/>
                <w:sz w:val="17"/>
              </w:rPr>
              <w:t>Effective limits and enabled modules.</w:t>
            </w:r>
          </w:p>
        </w:tc>
      </w:tr>
      <w:tr>
        <w:tc>
          <w:tcPr>
            <w:tcW w:type="dxa" w:w="2592"/>
            <w:vAlign w:val="center"/>
            <w:shd w:fill="EAF2F8"/>
          </w:tcPr>
          <w:p>
            <w:r/>
            <w:r>
              <w:rPr>
                <w:b w:val="0"/>
                <w:sz w:val="17"/>
              </w:rPr>
              <w:t>usage_records</w:t>
            </w:r>
          </w:p>
        </w:tc>
        <w:tc>
          <w:tcPr>
            <w:tcW w:type="dxa" w:w="1440"/>
            <w:vAlign w:val="center"/>
            <w:shd w:fill="EAF2F8"/>
          </w:tcPr>
          <w:p>
            <w:r/>
            <w:r>
              <w:rPr>
                <w:b w:val="0"/>
                <w:sz w:val="17"/>
              </w:rPr>
              <w:t>Tenant</w:t>
            </w:r>
          </w:p>
        </w:tc>
        <w:tc>
          <w:tcPr>
            <w:tcW w:type="dxa" w:w="6048"/>
            <w:vAlign w:val="center"/>
            <w:shd w:fill="EAF2F8"/>
          </w:tcPr>
          <w:p>
            <w:r/>
            <w:r>
              <w:rPr>
                <w:b w:val="0"/>
                <w:sz w:val="17"/>
              </w:rPr>
              <w:t>Tokens, conversations, messages, storage, agents and integration usage.</w:t>
            </w:r>
          </w:p>
        </w:tc>
      </w:tr>
      <w:tr>
        <w:tc>
          <w:tcPr>
            <w:tcW w:type="dxa" w:w="2592"/>
            <w:vAlign w:val="center"/>
          </w:tcPr>
          <w:p>
            <w:r/>
            <w:r>
              <w:rPr>
                <w:b w:val="0"/>
                <w:sz w:val="17"/>
              </w:rPr>
              <w:t>widget_keys</w:t>
            </w:r>
          </w:p>
        </w:tc>
        <w:tc>
          <w:tcPr>
            <w:tcW w:type="dxa" w:w="1440"/>
            <w:vAlign w:val="center"/>
          </w:tcPr>
          <w:p>
            <w:r/>
            <w:r>
              <w:rPr>
                <w:b w:val="0"/>
                <w:sz w:val="17"/>
              </w:rPr>
              <w:t>Tenant</w:t>
            </w:r>
          </w:p>
        </w:tc>
        <w:tc>
          <w:tcPr>
            <w:tcW w:type="dxa" w:w="6048"/>
            <w:vAlign w:val="center"/>
          </w:tcPr>
          <w:p>
            <w:r/>
            <w:r>
              <w:rPr>
                <w:b w:val="0"/>
                <w:sz w:val="17"/>
              </w:rPr>
              <w:t>Rotatable public widget identifiers and status.</w:t>
            </w:r>
          </w:p>
        </w:tc>
      </w:tr>
      <w:tr>
        <w:tc>
          <w:tcPr>
            <w:tcW w:type="dxa" w:w="2592"/>
            <w:vAlign w:val="center"/>
            <w:shd w:fill="EAF2F8"/>
          </w:tcPr>
          <w:p>
            <w:r/>
            <w:r>
              <w:rPr>
                <w:b w:val="0"/>
                <w:sz w:val="17"/>
              </w:rPr>
              <w:t>visitors</w:t>
            </w:r>
          </w:p>
        </w:tc>
        <w:tc>
          <w:tcPr>
            <w:tcW w:type="dxa" w:w="1440"/>
            <w:vAlign w:val="center"/>
            <w:shd w:fill="EAF2F8"/>
          </w:tcPr>
          <w:p>
            <w:r/>
            <w:r>
              <w:rPr>
                <w:b w:val="0"/>
                <w:sz w:val="17"/>
              </w:rPr>
              <w:t>Tenant</w:t>
            </w:r>
          </w:p>
        </w:tc>
        <w:tc>
          <w:tcPr>
            <w:tcW w:type="dxa" w:w="6048"/>
            <w:vAlign w:val="center"/>
            <w:shd w:fill="EAF2F8"/>
          </w:tcPr>
          <w:p>
            <w:r/>
            <w:r>
              <w:rPr>
                <w:b w:val="0"/>
                <w:sz w:val="17"/>
              </w:rPr>
              <w:t>Pseudonymous browser visitor identity.</w:t>
            </w:r>
          </w:p>
        </w:tc>
      </w:tr>
      <w:tr>
        <w:tc>
          <w:tcPr>
            <w:tcW w:type="dxa" w:w="2592"/>
            <w:vAlign w:val="center"/>
          </w:tcPr>
          <w:p>
            <w:r/>
            <w:r>
              <w:rPr>
                <w:b w:val="0"/>
                <w:sz w:val="17"/>
              </w:rPr>
              <w:t>conversations</w:t>
            </w:r>
          </w:p>
        </w:tc>
        <w:tc>
          <w:tcPr>
            <w:tcW w:type="dxa" w:w="1440"/>
            <w:vAlign w:val="center"/>
          </w:tcPr>
          <w:p>
            <w:r/>
            <w:r>
              <w:rPr>
                <w:b w:val="0"/>
                <w:sz w:val="17"/>
              </w:rPr>
              <w:t>Tenant</w:t>
            </w:r>
          </w:p>
        </w:tc>
        <w:tc>
          <w:tcPr>
            <w:tcW w:type="dxa" w:w="6048"/>
            <w:vAlign w:val="center"/>
          </w:tcPr>
          <w:p>
            <w:r/>
            <w:r>
              <w:rPr>
                <w:b w:val="0"/>
                <w:sz w:val="17"/>
              </w:rPr>
              <w:t>Channel, lifecycle, lead link, assignment, handover and summary.</w:t>
            </w:r>
          </w:p>
        </w:tc>
      </w:tr>
      <w:tr>
        <w:tc>
          <w:tcPr>
            <w:tcW w:type="dxa" w:w="2592"/>
            <w:vAlign w:val="center"/>
            <w:shd w:fill="EAF2F8"/>
          </w:tcPr>
          <w:p>
            <w:r/>
            <w:r>
              <w:rPr>
                <w:b w:val="0"/>
                <w:sz w:val="17"/>
              </w:rPr>
              <w:t>messages</w:t>
            </w:r>
          </w:p>
        </w:tc>
        <w:tc>
          <w:tcPr>
            <w:tcW w:type="dxa" w:w="1440"/>
            <w:vAlign w:val="center"/>
            <w:shd w:fill="EAF2F8"/>
          </w:tcPr>
          <w:p>
            <w:r/>
            <w:r>
              <w:rPr>
                <w:b w:val="0"/>
                <w:sz w:val="17"/>
              </w:rPr>
              <w:t>Tenant</w:t>
            </w:r>
          </w:p>
        </w:tc>
        <w:tc>
          <w:tcPr>
            <w:tcW w:type="dxa" w:w="6048"/>
            <w:vAlign w:val="center"/>
            <w:shd w:fill="EAF2F8"/>
          </w:tcPr>
          <w:p>
            <w:r/>
            <w:r>
              <w:rPr>
                <w:b w:val="0"/>
                <w:sz w:val="17"/>
              </w:rPr>
              <w:t>Direction, sender, content, model metadata, delivery and moderation state.</w:t>
            </w:r>
          </w:p>
        </w:tc>
      </w:tr>
      <w:tr>
        <w:tc>
          <w:tcPr>
            <w:tcW w:type="dxa" w:w="2592"/>
            <w:vAlign w:val="center"/>
          </w:tcPr>
          <w:p>
            <w:r/>
            <w:r>
              <w:rPr>
                <w:b w:val="0"/>
                <w:sz w:val="17"/>
              </w:rPr>
              <w:t>conversation_events</w:t>
            </w:r>
          </w:p>
        </w:tc>
        <w:tc>
          <w:tcPr>
            <w:tcW w:type="dxa" w:w="1440"/>
            <w:vAlign w:val="center"/>
          </w:tcPr>
          <w:p>
            <w:r/>
            <w:r>
              <w:rPr>
                <w:b w:val="0"/>
                <w:sz w:val="17"/>
              </w:rPr>
              <w:t>Tenant</w:t>
            </w:r>
          </w:p>
        </w:tc>
        <w:tc>
          <w:tcPr>
            <w:tcW w:type="dxa" w:w="6048"/>
            <w:vAlign w:val="center"/>
          </w:tcPr>
          <w:p>
            <w:r/>
            <w:r>
              <w:rPr>
                <w:b w:val="0"/>
                <w:sz w:val="17"/>
              </w:rPr>
              <w:t>Open, close, typing, assignment, takeover, escalation and system events.</w:t>
            </w:r>
          </w:p>
        </w:tc>
      </w:tr>
      <w:tr>
        <w:tc>
          <w:tcPr>
            <w:tcW w:type="dxa" w:w="2592"/>
            <w:vAlign w:val="center"/>
            <w:shd w:fill="EAF2F8"/>
          </w:tcPr>
          <w:p>
            <w:r/>
            <w:r>
              <w:rPr>
                <w:b w:val="0"/>
                <w:sz w:val="17"/>
              </w:rPr>
              <w:t>leads</w:t>
            </w:r>
          </w:p>
        </w:tc>
        <w:tc>
          <w:tcPr>
            <w:tcW w:type="dxa" w:w="1440"/>
            <w:vAlign w:val="center"/>
            <w:shd w:fill="EAF2F8"/>
          </w:tcPr>
          <w:p>
            <w:r/>
            <w:r>
              <w:rPr>
                <w:b w:val="0"/>
                <w:sz w:val="17"/>
              </w:rPr>
              <w:t>Tenant</w:t>
            </w:r>
          </w:p>
        </w:tc>
        <w:tc>
          <w:tcPr>
            <w:tcW w:type="dxa" w:w="6048"/>
            <w:vAlign w:val="center"/>
            <w:shd w:fill="EAF2F8"/>
          </w:tcPr>
          <w:p>
            <w:r/>
            <w:r>
              <w:rPr>
                <w:b w:val="0"/>
                <w:sz w:val="17"/>
              </w:rPr>
              <w:t>Canonical structured prospect/customer record.</w:t>
            </w:r>
          </w:p>
        </w:tc>
      </w:tr>
      <w:tr>
        <w:tc>
          <w:tcPr>
            <w:tcW w:type="dxa" w:w="2592"/>
            <w:vAlign w:val="center"/>
          </w:tcPr>
          <w:p>
            <w:r/>
            <w:r>
              <w:rPr>
                <w:b w:val="0"/>
                <w:sz w:val="17"/>
              </w:rPr>
              <w:t>lead_contacts</w:t>
            </w:r>
          </w:p>
        </w:tc>
        <w:tc>
          <w:tcPr>
            <w:tcW w:type="dxa" w:w="1440"/>
            <w:vAlign w:val="center"/>
          </w:tcPr>
          <w:p>
            <w:r/>
            <w:r>
              <w:rPr>
                <w:b w:val="0"/>
                <w:sz w:val="17"/>
              </w:rPr>
              <w:t>Tenant</w:t>
            </w:r>
          </w:p>
        </w:tc>
        <w:tc>
          <w:tcPr>
            <w:tcW w:type="dxa" w:w="6048"/>
            <w:vAlign w:val="center"/>
          </w:tcPr>
          <w:p>
            <w:r/>
            <w:r>
              <w:rPr>
                <w:b w:val="0"/>
                <w:sz w:val="17"/>
              </w:rPr>
              <w:t>Verified phones, emails and consent status.</w:t>
            </w:r>
          </w:p>
        </w:tc>
      </w:tr>
      <w:tr>
        <w:tc>
          <w:tcPr>
            <w:tcW w:type="dxa" w:w="2592"/>
            <w:vAlign w:val="center"/>
            <w:shd w:fill="EAF2F8"/>
          </w:tcPr>
          <w:p>
            <w:r/>
            <w:r>
              <w:rPr>
                <w:b w:val="0"/>
                <w:sz w:val="17"/>
              </w:rPr>
              <w:t>lead_qualifications</w:t>
            </w:r>
          </w:p>
        </w:tc>
        <w:tc>
          <w:tcPr>
            <w:tcW w:type="dxa" w:w="1440"/>
            <w:vAlign w:val="center"/>
            <w:shd w:fill="EAF2F8"/>
          </w:tcPr>
          <w:p>
            <w:r/>
            <w:r>
              <w:rPr>
                <w:b w:val="0"/>
                <w:sz w:val="17"/>
              </w:rPr>
              <w:t>Tenant</w:t>
            </w:r>
          </w:p>
        </w:tc>
        <w:tc>
          <w:tcPr>
            <w:tcW w:type="dxa" w:w="6048"/>
            <w:vAlign w:val="center"/>
            <w:shd w:fill="EAF2F8"/>
          </w:tcPr>
          <w:p>
            <w:r/>
            <w:r>
              <w:rPr>
                <w:b w:val="0"/>
                <w:sz w:val="17"/>
              </w:rPr>
              <w:t>Education, passing year, subjects, marks and other qualifications.</w:t>
            </w:r>
          </w:p>
        </w:tc>
      </w:tr>
      <w:tr>
        <w:tc>
          <w:tcPr>
            <w:tcW w:type="dxa" w:w="2592"/>
            <w:vAlign w:val="center"/>
          </w:tcPr>
          <w:p>
            <w:r/>
            <w:r>
              <w:rPr>
                <w:b w:val="0"/>
                <w:sz w:val="17"/>
              </w:rPr>
              <w:t>lead_preferences</w:t>
            </w:r>
          </w:p>
        </w:tc>
        <w:tc>
          <w:tcPr>
            <w:tcW w:type="dxa" w:w="1440"/>
            <w:vAlign w:val="center"/>
          </w:tcPr>
          <w:p>
            <w:r/>
            <w:r>
              <w:rPr>
                <w:b w:val="0"/>
                <w:sz w:val="17"/>
              </w:rPr>
              <w:t>Tenant</w:t>
            </w:r>
          </w:p>
        </w:tc>
        <w:tc>
          <w:tcPr>
            <w:tcW w:type="dxa" w:w="6048"/>
            <w:vAlign w:val="center"/>
          </w:tcPr>
          <w:p>
            <w:r/>
            <w:r>
              <w:rPr>
                <w:b w:val="0"/>
                <w:sz w:val="17"/>
              </w:rPr>
              <w:t>Study mode, budget, location, timing and service preferences.</w:t>
            </w:r>
          </w:p>
        </w:tc>
      </w:tr>
      <w:tr>
        <w:tc>
          <w:tcPr>
            <w:tcW w:type="dxa" w:w="2592"/>
            <w:vAlign w:val="center"/>
            <w:shd w:fill="EAF2F8"/>
          </w:tcPr>
          <w:p>
            <w:r/>
            <w:r>
              <w:rPr>
                <w:b w:val="0"/>
                <w:sz w:val="17"/>
              </w:rPr>
              <w:t>lead_status_history</w:t>
            </w:r>
          </w:p>
        </w:tc>
        <w:tc>
          <w:tcPr>
            <w:tcW w:type="dxa" w:w="1440"/>
            <w:vAlign w:val="center"/>
            <w:shd w:fill="EAF2F8"/>
          </w:tcPr>
          <w:p>
            <w:r/>
            <w:r>
              <w:rPr>
                <w:b w:val="0"/>
                <w:sz w:val="17"/>
              </w:rPr>
              <w:t>Tenant</w:t>
            </w:r>
          </w:p>
        </w:tc>
        <w:tc>
          <w:tcPr>
            <w:tcW w:type="dxa" w:w="6048"/>
            <w:vAlign w:val="center"/>
            <w:shd w:fill="EAF2F8"/>
          </w:tcPr>
          <w:p>
            <w:r/>
            <w:r>
              <w:rPr>
                <w:b w:val="0"/>
                <w:sz w:val="17"/>
              </w:rPr>
              <w:t>Immutable lead-stage transitions.</w:t>
            </w:r>
          </w:p>
        </w:tc>
      </w:tr>
      <w:tr>
        <w:tc>
          <w:tcPr>
            <w:tcW w:type="dxa" w:w="2592"/>
            <w:vAlign w:val="center"/>
          </w:tcPr>
          <w:p>
            <w:r/>
            <w:r>
              <w:rPr>
                <w:b w:val="0"/>
                <w:sz w:val="17"/>
              </w:rPr>
              <w:t>follow_ups</w:t>
            </w:r>
          </w:p>
        </w:tc>
        <w:tc>
          <w:tcPr>
            <w:tcW w:type="dxa" w:w="1440"/>
            <w:vAlign w:val="center"/>
          </w:tcPr>
          <w:p>
            <w:r/>
            <w:r>
              <w:rPr>
                <w:b w:val="0"/>
                <w:sz w:val="17"/>
              </w:rPr>
              <w:t>Tenant</w:t>
            </w:r>
          </w:p>
        </w:tc>
        <w:tc>
          <w:tcPr>
            <w:tcW w:type="dxa" w:w="6048"/>
            <w:vAlign w:val="center"/>
          </w:tcPr>
          <w:p>
            <w:r/>
            <w:r>
              <w:rPr>
                <w:b w:val="0"/>
                <w:sz w:val="17"/>
              </w:rPr>
              <w:t>Due date, owner, channel, outcome and recurrence.</w:t>
            </w:r>
          </w:p>
        </w:tc>
      </w:tr>
      <w:tr>
        <w:tc>
          <w:tcPr>
            <w:tcW w:type="dxa" w:w="2592"/>
            <w:vAlign w:val="center"/>
            <w:shd w:fill="EAF2F8"/>
          </w:tcPr>
          <w:p>
            <w:r/>
            <w:r>
              <w:rPr>
                <w:b w:val="0"/>
                <w:sz w:val="17"/>
              </w:rPr>
              <w:t>services</w:t>
            </w:r>
          </w:p>
        </w:tc>
        <w:tc>
          <w:tcPr>
            <w:tcW w:type="dxa" w:w="1440"/>
            <w:vAlign w:val="center"/>
            <w:shd w:fill="EAF2F8"/>
          </w:tcPr>
          <w:p>
            <w:r/>
            <w:r>
              <w:rPr>
                <w:b w:val="0"/>
                <w:sz w:val="17"/>
              </w:rPr>
              <w:t>Tenant</w:t>
            </w:r>
          </w:p>
        </w:tc>
        <w:tc>
          <w:tcPr>
            <w:tcW w:type="dxa" w:w="6048"/>
            <w:vAlign w:val="center"/>
            <w:shd w:fill="EAF2F8"/>
          </w:tcPr>
          <w:p>
            <w:r/>
            <w:r>
              <w:rPr>
                <w:b w:val="0"/>
                <w:sz w:val="17"/>
              </w:rPr>
              <w:t>Client services or counselling categories.</w:t>
            </w:r>
          </w:p>
        </w:tc>
      </w:tr>
      <w:tr>
        <w:tc>
          <w:tcPr>
            <w:tcW w:type="dxa" w:w="2592"/>
            <w:vAlign w:val="center"/>
          </w:tcPr>
          <w:p>
            <w:r/>
            <w:r>
              <w:rPr>
                <w:b w:val="0"/>
                <w:sz w:val="17"/>
              </w:rPr>
              <w:t>courses</w:t>
            </w:r>
          </w:p>
        </w:tc>
        <w:tc>
          <w:tcPr>
            <w:tcW w:type="dxa" w:w="1440"/>
            <w:vAlign w:val="center"/>
          </w:tcPr>
          <w:p>
            <w:r/>
            <w:r>
              <w:rPr>
                <w:b w:val="0"/>
                <w:sz w:val="17"/>
              </w:rPr>
              <w:t>Tenant</w:t>
            </w:r>
          </w:p>
        </w:tc>
        <w:tc>
          <w:tcPr>
            <w:tcW w:type="dxa" w:w="6048"/>
            <w:vAlign w:val="center"/>
          </w:tcPr>
          <w:p>
            <w:r/>
            <w:r>
              <w:rPr>
                <w:b w:val="0"/>
                <w:sz w:val="17"/>
              </w:rPr>
              <w:t>Course catalogue, duration, mode, fee and intake status.</w:t>
            </w:r>
          </w:p>
        </w:tc>
      </w:tr>
      <w:tr>
        <w:tc>
          <w:tcPr>
            <w:tcW w:type="dxa" w:w="2592"/>
            <w:vAlign w:val="center"/>
            <w:shd w:fill="EAF2F8"/>
          </w:tcPr>
          <w:p>
            <w:r/>
            <w:r>
              <w:rPr>
                <w:b w:val="0"/>
                <w:sz w:val="17"/>
              </w:rPr>
              <w:t>institutions</w:t>
            </w:r>
          </w:p>
        </w:tc>
        <w:tc>
          <w:tcPr>
            <w:tcW w:type="dxa" w:w="1440"/>
            <w:vAlign w:val="center"/>
            <w:shd w:fill="EAF2F8"/>
          </w:tcPr>
          <w:p>
            <w:r/>
            <w:r>
              <w:rPr>
                <w:b w:val="0"/>
                <w:sz w:val="17"/>
              </w:rPr>
              <w:t>Tenant</w:t>
            </w:r>
          </w:p>
        </w:tc>
        <w:tc>
          <w:tcPr>
            <w:tcW w:type="dxa" w:w="6048"/>
            <w:vAlign w:val="center"/>
            <w:shd w:fill="EAF2F8"/>
          </w:tcPr>
          <w:p>
            <w:r/>
            <w:r>
              <w:rPr>
                <w:b w:val="0"/>
                <w:sz w:val="17"/>
              </w:rPr>
              <w:t>College/university/centre and location details.</w:t>
            </w:r>
          </w:p>
        </w:tc>
      </w:tr>
      <w:tr>
        <w:tc>
          <w:tcPr>
            <w:tcW w:type="dxa" w:w="2592"/>
            <w:vAlign w:val="center"/>
          </w:tcPr>
          <w:p>
            <w:r/>
            <w:r>
              <w:rPr>
                <w:b w:val="0"/>
                <w:sz w:val="17"/>
              </w:rPr>
              <w:t>course_institution</w:t>
            </w:r>
          </w:p>
        </w:tc>
        <w:tc>
          <w:tcPr>
            <w:tcW w:type="dxa" w:w="1440"/>
            <w:vAlign w:val="center"/>
          </w:tcPr>
          <w:p>
            <w:r/>
            <w:r>
              <w:rPr>
                <w:b w:val="0"/>
                <w:sz w:val="17"/>
              </w:rPr>
              <w:t>Tenant</w:t>
            </w:r>
          </w:p>
        </w:tc>
        <w:tc>
          <w:tcPr>
            <w:tcW w:type="dxa" w:w="6048"/>
            <w:vAlign w:val="center"/>
          </w:tcPr>
          <w:p>
            <w:r/>
            <w:r>
              <w:rPr>
                <w:b w:val="0"/>
                <w:sz w:val="17"/>
              </w:rPr>
              <w:t>Availability, fees, intakes and institution-specific conditions.</w:t>
            </w:r>
          </w:p>
        </w:tc>
      </w:tr>
      <w:tr>
        <w:tc>
          <w:tcPr>
            <w:tcW w:type="dxa" w:w="2592"/>
            <w:vAlign w:val="center"/>
            <w:shd w:fill="EAF2F8"/>
          </w:tcPr>
          <w:p>
            <w:r/>
            <w:r>
              <w:rPr>
                <w:b w:val="0"/>
                <w:sz w:val="17"/>
              </w:rPr>
              <w:t>eligibility_rules</w:t>
            </w:r>
          </w:p>
        </w:tc>
        <w:tc>
          <w:tcPr>
            <w:tcW w:type="dxa" w:w="1440"/>
            <w:vAlign w:val="center"/>
            <w:shd w:fill="EAF2F8"/>
          </w:tcPr>
          <w:p>
            <w:r/>
            <w:r>
              <w:rPr>
                <w:b w:val="0"/>
                <w:sz w:val="17"/>
              </w:rPr>
              <w:t>Tenant</w:t>
            </w:r>
          </w:p>
        </w:tc>
        <w:tc>
          <w:tcPr>
            <w:tcW w:type="dxa" w:w="6048"/>
            <w:vAlign w:val="center"/>
            <w:shd w:fill="EAF2F8"/>
          </w:tcPr>
          <w:p>
            <w:r/>
            <w:r>
              <w:rPr>
                <w:b w:val="0"/>
                <w:sz w:val="17"/>
              </w:rPr>
              <w:t>Machine-evaluable rules and priority.</w:t>
            </w:r>
          </w:p>
        </w:tc>
      </w:tr>
      <w:tr>
        <w:tc>
          <w:tcPr>
            <w:tcW w:type="dxa" w:w="2592"/>
            <w:vAlign w:val="center"/>
          </w:tcPr>
          <w:p>
            <w:r/>
            <w:r>
              <w:rPr>
                <w:b w:val="0"/>
                <w:sz w:val="17"/>
              </w:rPr>
              <w:t>knowledge_items</w:t>
            </w:r>
          </w:p>
        </w:tc>
        <w:tc>
          <w:tcPr>
            <w:tcW w:type="dxa" w:w="1440"/>
            <w:vAlign w:val="center"/>
          </w:tcPr>
          <w:p>
            <w:r/>
            <w:r>
              <w:rPr>
                <w:b w:val="0"/>
                <w:sz w:val="17"/>
              </w:rPr>
              <w:t>Tenant</w:t>
            </w:r>
          </w:p>
        </w:tc>
        <w:tc>
          <w:tcPr>
            <w:tcW w:type="dxa" w:w="6048"/>
            <w:vAlign w:val="center"/>
          </w:tcPr>
          <w:p>
            <w:r/>
            <w:r>
              <w:rPr>
                <w:b w:val="0"/>
                <w:sz w:val="17"/>
              </w:rPr>
              <w:t>FAQ, policy, article, answer, status and source.</w:t>
            </w:r>
          </w:p>
        </w:tc>
      </w:tr>
      <w:tr>
        <w:tc>
          <w:tcPr>
            <w:tcW w:type="dxa" w:w="2592"/>
            <w:vAlign w:val="center"/>
            <w:shd w:fill="EAF2F8"/>
          </w:tcPr>
          <w:p>
            <w:r/>
            <w:r>
              <w:rPr>
                <w:b w:val="0"/>
                <w:sz w:val="17"/>
              </w:rPr>
              <w:t>knowledge_versions</w:t>
            </w:r>
          </w:p>
        </w:tc>
        <w:tc>
          <w:tcPr>
            <w:tcW w:type="dxa" w:w="1440"/>
            <w:vAlign w:val="center"/>
            <w:shd w:fill="EAF2F8"/>
          </w:tcPr>
          <w:p>
            <w:r/>
            <w:r>
              <w:rPr>
                <w:b w:val="0"/>
                <w:sz w:val="17"/>
              </w:rPr>
              <w:t>Tenant</w:t>
            </w:r>
          </w:p>
        </w:tc>
        <w:tc>
          <w:tcPr>
            <w:tcW w:type="dxa" w:w="6048"/>
            <w:vAlign w:val="center"/>
            <w:shd w:fill="EAF2F8"/>
          </w:tcPr>
          <w:p>
            <w:r/>
            <w:r>
              <w:rPr>
                <w:b w:val="0"/>
                <w:sz w:val="17"/>
              </w:rPr>
              <w:t>Versioned approved content and publication history.</w:t>
            </w:r>
          </w:p>
        </w:tc>
      </w:tr>
      <w:tr>
        <w:tc>
          <w:tcPr>
            <w:tcW w:type="dxa" w:w="2592"/>
            <w:vAlign w:val="center"/>
          </w:tcPr>
          <w:p>
            <w:r/>
            <w:r>
              <w:rPr>
                <w:b w:val="0"/>
                <w:sz w:val="17"/>
              </w:rPr>
              <w:t>documents</w:t>
            </w:r>
          </w:p>
        </w:tc>
        <w:tc>
          <w:tcPr>
            <w:tcW w:type="dxa" w:w="1440"/>
            <w:vAlign w:val="center"/>
          </w:tcPr>
          <w:p>
            <w:r/>
            <w:r>
              <w:rPr>
                <w:b w:val="0"/>
                <w:sz w:val="17"/>
              </w:rPr>
              <w:t>Tenant</w:t>
            </w:r>
          </w:p>
        </w:tc>
        <w:tc>
          <w:tcPr>
            <w:tcW w:type="dxa" w:w="6048"/>
            <w:vAlign w:val="center"/>
          </w:tcPr>
          <w:p>
            <w:r/>
            <w:r>
              <w:rPr>
                <w:b w:val="0"/>
                <w:sz w:val="17"/>
              </w:rPr>
              <w:t>Metadata for uploaded files and processing state.</w:t>
            </w:r>
          </w:p>
        </w:tc>
      </w:tr>
      <w:tr>
        <w:tc>
          <w:tcPr>
            <w:tcW w:type="dxa" w:w="2592"/>
            <w:vAlign w:val="center"/>
            <w:shd w:fill="EAF2F8"/>
          </w:tcPr>
          <w:p>
            <w:r/>
            <w:r>
              <w:rPr>
                <w:b w:val="0"/>
                <w:sz w:val="17"/>
              </w:rPr>
              <w:t>ai_providers</w:t>
            </w:r>
          </w:p>
        </w:tc>
        <w:tc>
          <w:tcPr>
            <w:tcW w:type="dxa" w:w="1440"/>
            <w:vAlign w:val="center"/>
            <w:shd w:fill="EAF2F8"/>
          </w:tcPr>
          <w:p>
            <w:r/>
            <w:r>
              <w:rPr>
                <w:b w:val="0"/>
                <w:sz w:val="17"/>
              </w:rPr>
              <w:t>Global</w:t>
            </w:r>
          </w:p>
        </w:tc>
        <w:tc>
          <w:tcPr>
            <w:tcW w:type="dxa" w:w="6048"/>
            <w:vAlign w:val="center"/>
            <w:shd w:fill="EAF2F8"/>
          </w:tcPr>
          <w:p>
            <w:r/>
            <w:r>
              <w:rPr>
                <w:b w:val="0"/>
                <w:sz w:val="17"/>
              </w:rPr>
              <w:t>Supported provider definitions.</w:t>
            </w:r>
          </w:p>
        </w:tc>
      </w:tr>
      <w:tr>
        <w:tc>
          <w:tcPr>
            <w:tcW w:type="dxa" w:w="2592"/>
            <w:vAlign w:val="center"/>
          </w:tcPr>
          <w:p>
            <w:r/>
            <w:r>
              <w:rPr>
                <w:b w:val="0"/>
                <w:sz w:val="17"/>
              </w:rPr>
              <w:t>tenant_ai_configs</w:t>
            </w:r>
          </w:p>
        </w:tc>
        <w:tc>
          <w:tcPr>
            <w:tcW w:type="dxa" w:w="1440"/>
            <w:vAlign w:val="center"/>
          </w:tcPr>
          <w:p>
            <w:r/>
            <w:r>
              <w:rPr>
                <w:b w:val="0"/>
                <w:sz w:val="17"/>
              </w:rPr>
              <w:t>Tenant</w:t>
            </w:r>
          </w:p>
        </w:tc>
        <w:tc>
          <w:tcPr>
            <w:tcW w:type="dxa" w:w="6048"/>
            <w:vAlign w:val="center"/>
          </w:tcPr>
          <w:p>
            <w:r/>
            <w:r>
              <w:rPr>
                <w:b w:val="0"/>
                <w:sz w:val="17"/>
              </w:rPr>
              <w:t>Provider selection, encrypted credentials, budgets and routing.</w:t>
            </w:r>
          </w:p>
        </w:tc>
      </w:tr>
      <w:tr>
        <w:tc>
          <w:tcPr>
            <w:tcW w:type="dxa" w:w="2592"/>
            <w:vAlign w:val="center"/>
            <w:shd w:fill="EAF2F8"/>
          </w:tcPr>
          <w:p>
            <w:r/>
            <w:r>
              <w:rPr>
                <w:b w:val="0"/>
                <w:sz w:val="17"/>
              </w:rPr>
              <w:t>prompt_templates</w:t>
            </w:r>
          </w:p>
        </w:tc>
        <w:tc>
          <w:tcPr>
            <w:tcW w:type="dxa" w:w="1440"/>
            <w:vAlign w:val="center"/>
            <w:shd w:fill="EAF2F8"/>
          </w:tcPr>
          <w:p>
            <w:r/>
            <w:r>
              <w:rPr>
                <w:b w:val="0"/>
                <w:sz w:val="17"/>
              </w:rPr>
              <w:t>Global/Tenant</w:t>
            </w:r>
          </w:p>
        </w:tc>
        <w:tc>
          <w:tcPr>
            <w:tcW w:type="dxa" w:w="6048"/>
            <w:vAlign w:val="center"/>
            <w:shd w:fill="EAF2F8"/>
          </w:tcPr>
          <w:p>
            <w:r/>
            <w:r>
              <w:rPr>
                <w:b w:val="0"/>
                <w:sz w:val="17"/>
              </w:rPr>
              <w:t>Versioned system and workflow prompts.</w:t>
            </w:r>
          </w:p>
        </w:tc>
      </w:tr>
      <w:tr>
        <w:tc>
          <w:tcPr>
            <w:tcW w:type="dxa" w:w="2592"/>
            <w:vAlign w:val="center"/>
          </w:tcPr>
          <w:p>
            <w:r/>
            <w:r>
              <w:rPr>
                <w:b w:val="0"/>
                <w:sz w:val="17"/>
              </w:rPr>
              <w:t>ai_runs</w:t>
            </w:r>
          </w:p>
        </w:tc>
        <w:tc>
          <w:tcPr>
            <w:tcW w:type="dxa" w:w="1440"/>
            <w:vAlign w:val="center"/>
          </w:tcPr>
          <w:p>
            <w:r/>
            <w:r>
              <w:rPr>
                <w:b w:val="0"/>
                <w:sz w:val="17"/>
              </w:rPr>
              <w:t>Tenant</w:t>
            </w:r>
          </w:p>
        </w:tc>
        <w:tc>
          <w:tcPr>
            <w:tcW w:type="dxa" w:w="6048"/>
            <w:vAlign w:val="center"/>
          </w:tcPr>
          <w:p>
            <w:r/>
            <w:r>
              <w:rPr>
                <w:b w:val="0"/>
                <w:sz w:val="17"/>
              </w:rPr>
              <w:t>Model call, latency, tokens, cost, result and error.</w:t>
            </w:r>
          </w:p>
        </w:tc>
      </w:tr>
      <w:tr>
        <w:tc>
          <w:tcPr>
            <w:tcW w:type="dxa" w:w="2592"/>
            <w:vAlign w:val="center"/>
            <w:shd w:fill="EAF2F8"/>
          </w:tcPr>
          <w:p>
            <w:r/>
            <w:r>
              <w:rPr>
                <w:b w:val="0"/>
                <w:sz w:val="17"/>
              </w:rPr>
              <w:t>tool_definitions</w:t>
            </w:r>
          </w:p>
        </w:tc>
        <w:tc>
          <w:tcPr>
            <w:tcW w:type="dxa" w:w="1440"/>
            <w:vAlign w:val="center"/>
            <w:shd w:fill="EAF2F8"/>
          </w:tcPr>
          <w:p>
            <w:r/>
            <w:r>
              <w:rPr>
                <w:b w:val="0"/>
                <w:sz w:val="17"/>
              </w:rPr>
              <w:t>Global</w:t>
            </w:r>
          </w:p>
        </w:tc>
        <w:tc>
          <w:tcPr>
            <w:tcW w:type="dxa" w:w="6048"/>
            <w:vAlign w:val="center"/>
            <w:shd w:fill="EAF2F8"/>
          </w:tcPr>
          <w:p>
            <w:r/>
            <w:r>
              <w:rPr>
                <w:b w:val="0"/>
                <w:sz w:val="17"/>
              </w:rPr>
              <w:t>Approved tool schema and risk classification.</w:t>
            </w:r>
          </w:p>
        </w:tc>
      </w:tr>
      <w:tr>
        <w:tc>
          <w:tcPr>
            <w:tcW w:type="dxa" w:w="2592"/>
            <w:vAlign w:val="center"/>
          </w:tcPr>
          <w:p>
            <w:r/>
            <w:r>
              <w:rPr>
                <w:b w:val="0"/>
                <w:sz w:val="17"/>
              </w:rPr>
              <w:t>tool_executions</w:t>
            </w:r>
          </w:p>
        </w:tc>
        <w:tc>
          <w:tcPr>
            <w:tcW w:type="dxa" w:w="1440"/>
            <w:vAlign w:val="center"/>
          </w:tcPr>
          <w:p>
            <w:r/>
            <w:r>
              <w:rPr>
                <w:b w:val="0"/>
                <w:sz w:val="17"/>
              </w:rPr>
              <w:t>Tenant</w:t>
            </w:r>
          </w:p>
        </w:tc>
        <w:tc>
          <w:tcPr>
            <w:tcW w:type="dxa" w:w="6048"/>
            <w:vAlign w:val="center"/>
          </w:tcPr>
          <w:p>
            <w:r/>
            <w:r>
              <w:rPr>
                <w:b w:val="0"/>
                <w:sz w:val="17"/>
              </w:rPr>
              <w:t>Requested tool, validated inputs, result and actor.</w:t>
            </w:r>
          </w:p>
        </w:tc>
      </w:tr>
      <w:tr>
        <w:tc>
          <w:tcPr>
            <w:tcW w:type="dxa" w:w="2592"/>
            <w:vAlign w:val="center"/>
            <w:shd w:fill="EAF2F8"/>
          </w:tcPr>
          <w:p>
            <w:r/>
            <w:r>
              <w:rPr>
                <w:b w:val="0"/>
                <w:sz w:val="17"/>
              </w:rPr>
              <w:t>handover_requests</w:t>
            </w:r>
          </w:p>
        </w:tc>
        <w:tc>
          <w:tcPr>
            <w:tcW w:type="dxa" w:w="1440"/>
            <w:vAlign w:val="center"/>
            <w:shd w:fill="EAF2F8"/>
          </w:tcPr>
          <w:p>
            <w:r/>
            <w:r>
              <w:rPr>
                <w:b w:val="0"/>
                <w:sz w:val="17"/>
              </w:rPr>
              <w:t>Tenant</w:t>
            </w:r>
          </w:p>
        </w:tc>
        <w:tc>
          <w:tcPr>
            <w:tcW w:type="dxa" w:w="6048"/>
            <w:vAlign w:val="center"/>
            <w:shd w:fill="EAF2F8"/>
          </w:tcPr>
          <w:p>
            <w:r/>
            <w:r>
              <w:rPr>
                <w:b w:val="0"/>
                <w:sz w:val="17"/>
              </w:rPr>
              <w:t>Reason, urgency, queue and resolution.</w:t>
            </w:r>
          </w:p>
        </w:tc>
      </w:tr>
      <w:tr>
        <w:tc>
          <w:tcPr>
            <w:tcW w:type="dxa" w:w="2592"/>
            <w:vAlign w:val="center"/>
          </w:tcPr>
          <w:p>
            <w:r/>
            <w:r>
              <w:rPr>
                <w:b w:val="0"/>
                <w:sz w:val="17"/>
              </w:rPr>
              <w:t>integration_connections</w:t>
            </w:r>
          </w:p>
        </w:tc>
        <w:tc>
          <w:tcPr>
            <w:tcW w:type="dxa" w:w="1440"/>
            <w:vAlign w:val="center"/>
          </w:tcPr>
          <w:p>
            <w:r/>
            <w:r>
              <w:rPr>
                <w:b w:val="0"/>
                <w:sz w:val="17"/>
              </w:rPr>
              <w:t>Tenant</w:t>
            </w:r>
          </w:p>
        </w:tc>
        <w:tc>
          <w:tcPr>
            <w:tcW w:type="dxa" w:w="6048"/>
            <w:vAlign w:val="center"/>
          </w:tcPr>
          <w:p>
            <w:r/>
            <w:r>
              <w:rPr>
                <w:b w:val="0"/>
                <w:sz w:val="17"/>
              </w:rPr>
              <w:t>Encrypted external provider configuration.</w:t>
            </w:r>
          </w:p>
        </w:tc>
      </w:tr>
      <w:tr>
        <w:tc>
          <w:tcPr>
            <w:tcW w:type="dxa" w:w="2592"/>
            <w:vAlign w:val="center"/>
            <w:shd w:fill="EAF2F8"/>
          </w:tcPr>
          <w:p>
            <w:r/>
            <w:r>
              <w:rPr>
                <w:b w:val="0"/>
                <w:sz w:val="17"/>
              </w:rPr>
              <w:t>outbound_messages</w:t>
            </w:r>
          </w:p>
        </w:tc>
        <w:tc>
          <w:tcPr>
            <w:tcW w:type="dxa" w:w="1440"/>
            <w:vAlign w:val="center"/>
            <w:shd w:fill="EAF2F8"/>
          </w:tcPr>
          <w:p>
            <w:r/>
            <w:r>
              <w:rPr>
                <w:b w:val="0"/>
                <w:sz w:val="17"/>
              </w:rPr>
              <w:t>Tenant</w:t>
            </w:r>
          </w:p>
        </w:tc>
        <w:tc>
          <w:tcPr>
            <w:tcW w:type="dxa" w:w="6048"/>
            <w:vAlign w:val="center"/>
            <w:shd w:fill="EAF2F8"/>
          </w:tcPr>
          <w:p>
            <w:r/>
            <w:r>
              <w:rPr>
                <w:b w:val="0"/>
                <w:sz w:val="17"/>
              </w:rPr>
              <w:t>Email/WhatsApp/SMS queue, template and delivery state.</w:t>
            </w:r>
          </w:p>
        </w:tc>
      </w:tr>
      <w:tr>
        <w:tc>
          <w:tcPr>
            <w:tcW w:type="dxa" w:w="2592"/>
            <w:vAlign w:val="center"/>
          </w:tcPr>
          <w:p>
            <w:r/>
            <w:r>
              <w:rPr>
                <w:b w:val="0"/>
                <w:sz w:val="17"/>
              </w:rPr>
              <w:t>payment_orders</w:t>
            </w:r>
          </w:p>
        </w:tc>
        <w:tc>
          <w:tcPr>
            <w:tcW w:type="dxa" w:w="1440"/>
            <w:vAlign w:val="center"/>
          </w:tcPr>
          <w:p>
            <w:r/>
            <w:r>
              <w:rPr>
                <w:b w:val="0"/>
                <w:sz w:val="17"/>
              </w:rPr>
              <w:t>Tenant</w:t>
            </w:r>
          </w:p>
        </w:tc>
        <w:tc>
          <w:tcPr>
            <w:tcW w:type="dxa" w:w="6048"/>
            <w:vAlign w:val="center"/>
          </w:tcPr>
          <w:p>
            <w:r/>
            <w:r>
              <w:rPr>
                <w:b w:val="0"/>
                <w:sz w:val="17"/>
              </w:rPr>
              <w:t>Purpose, amount, gateway, lead and status.</w:t>
            </w:r>
          </w:p>
        </w:tc>
      </w:tr>
      <w:tr>
        <w:tc>
          <w:tcPr>
            <w:tcW w:type="dxa" w:w="2592"/>
            <w:vAlign w:val="center"/>
            <w:shd w:fill="EAF2F8"/>
          </w:tcPr>
          <w:p>
            <w:r/>
            <w:r>
              <w:rPr>
                <w:b w:val="0"/>
                <w:sz w:val="17"/>
              </w:rPr>
              <w:t>payment_transactions</w:t>
            </w:r>
          </w:p>
        </w:tc>
        <w:tc>
          <w:tcPr>
            <w:tcW w:type="dxa" w:w="1440"/>
            <w:vAlign w:val="center"/>
            <w:shd w:fill="EAF2F8"/>
          </w:tcPr>
          <w:p>
            <w:r/>
            <w:r>
              <w:rPr>
                <w:b w:val="0"/>
                <w:sz w:val="17"/>
              </w:rPr>
              <w:t>Tenant</w:t>
            </w:r>
          </w:p>
        </w:tc>
        <w:tc>
          <w:tcPr>
            <w:tcW w:type="dxa" w:w="6048"/>
            <w:vAlign w:val="center"/>
            <w:shd w:fill="EAF2F8"/>
          </w:tcPr>
          <w:p>
            <w:r/>
            <w:r>
              <w:rPr>
                <w:b w:val="0"/>
                <w:sz w:val="17"/>
              </w:rPr>
              <w:t>Gateway verification and immutable transaction record.</w:t>
            </w:r>
          </w:p>
        </w:tc>
      </w:tr>
      <w:tr>
        <w:tc>
          <w:tcPr>
            <w:tcW w:type="dxa" w:w="2592"/>
            <w:vAlign w:val="center"/>
          </w:tcPr>
          <w:p>
            <w:r/>
            <w:r>
              <w:rPr>
                <w:b w:val="0"/>
                <w:sz w:val="17"/>
              </w:rPr>
              <w:t>appointments</w:t>
            </w:r>
          </w:p>
        </w:tc>
        <w:tc>
          <w:tcPr>
            <w:tcW w:type="dxa" w:w="1440"/>
            <w:vAlign w:val="center"/>
          </w:tcPr>
          <w:p>
            <w:r/>
            <w:r>
              <w:rPr>
                <w:b w:val="0"/>
                <w:sz w:val="17"/>
              </w:rPr>
              <w:t>Tenant</w:t>
            </w:r>
          </w:p>
        </w:tc>
        <w:tc>
          <w:tcPr>
            <w:tcW w:type="dxa" w:w="6048"/>
            <w:vAlign w:val="center"/>
          </w:tcPr>
          <w:p>
            <w:r/>
            <w:r>
              <w:rPr>
                <w:b w:val="0"/>
                <w:sz w:val="17"/>
              </w:rPr>
              <w:t>Availability, booking, attendee and status.</w:t>
            </w:r>
          </w:p>
        </w:tc>
      </w:tr>
      <w:tr>
        <w:tc>
          <w:tcPr>
            <w:tcW w:type="dxa" w:w="2592"/>
            <w:vAlign w:val="center"/>
            <w:shd w:fill="EAF2F8"/>
          </w:tcPr>
          <w:p>
            <w:r/>
            <w:r>
              <w:rPr>
                <w:b w:val="0"/>
                <w:sz w:val="17"/>
              </w:rPr>
              <w:t>webhooks</w:t>
            </w:r>
          </w:p>
        </w:tc>
        <w:tc>
          <w:tcPr>
            <w:tcW w:type="dxa" w:w="1440"/>
            <w:vAlign w:val="center"/>
            <w:shd w:fill="EAF2F8"/>
          </w:tcPr>
          <w:p>
            <w:r/>
            <w:r>
              <w:rPr>
                <w:b w:val="0"/>
                <w:sz w:val="17"/>
              </w:rPr>
              <w:t>Tenant</w:t>
            </w:r>
          </w:p>
        </w:tc>
        <w:tc>
          <w:tcPr>
            <w:tcW w:type="dxa" w:w="6048"/>
            <w:vAlign w:val="center"/>
            <w:shd w:fill="EAF2F8"/>
          </w:tcPr>
          <w:p>
            <w:r/>
            <w:r>
              <w:rPr>
                <w:b w:val="0"/>
                <w:sz w:val="17"/>
              </w:rPr>
              <w:t>Outbound endpoint, events, secret and state.</w:t>
            </w:r>
          </w:p>
        </w:tc>
      </w:tr>
      <w:tr>
        <w:tc>
          <w:tcPr>
            <w:tcW w:type="dxa" w:w="2592"/>
            <w:vAlign w:val="center"/>
          </w:tcPr>
          <w:p>
            <w:r/>
            <w:r>
              <w:rPr>
                <w:b w:val="0"/>
                <w:sz w:val="17"/>
              </w:rPr>
              <w:t>webhook_deliveries</w:t>
            </w:r>
          </w:p>
        </w:tc>
        <w:tc>
          <w:tcPr>
            <w:tcW w:type="dxa" w:w="1440"/>
            <w:vAlign w:val="center"/>
          </w:tcPr>
          <w:p>
            <w:r/>
            <w:r>
              <w:rPr>
                <w:b w:val="0"/>
                <w:sz w:val="17"/>
              </w:rPr>
              <w:t>Tenant</w:t>
            </w:r>
          </w:p>
        </w:tc>
        <w:tc>
          <w:tcPr>
            <w:tcW w:type="dxa" w:w="6048"/>
            <w:vAlign w:val="center"/>
          </w:tcPr>
          <w:p>
            <w:r/>
            <w:r>
              <w:rPr>
                <w:b w:val="0"/>
                <w:sz w:val="17"/>
              </w:rPr>
              <w:t>Attempt, response, retry and result.</w:t>
            </w:r>
          </w:p>
        </w:tc>
      </w:tr>
      <w:tr>
        <w:tc>
          <w:tcPr>
            <w:tcW w:type="dxa" w:w="2592"/>
            <w:vAlign w:val="center"/>
            <w:shd w:fill="EAF2F8"/>
          </w:tcPr>
          <w:p>
            <w:r/>
            <w:r>
              <w:rPr>
                <w:b w:val="0"/>
                <w:sz w:val="17"/>
              </w:rPr>
              <w:t>audit_logs</w:t>
            </w:r>
          </w:p>
        </w:tc>
        <w:tc>
          <w:tcPr>
            <w:tcW w:type="dxa" w:w="1440"/>
            <w:vAlign w:val="center"/>
            <w:shd w:fill="EAF2F8"/>
          </w:tcPr>
          <w:p>
            <w:r/>
            <w:r>
              <w:rPr>
                <w:b w:val="0"/>
                <w:sz w:val="17"/>
              </w:rPr>
              <w:t>Global/Tenant</w:t>
            </w:r>
          </w:p>
        </w:tc>
        <w:tc>
          <w:tcPr>
            <w:tcW w:type="dxa" w:w="6048"/>
            <w:vAlign w:val="center"/>
            <w:shd w:fill="EAF2F8"/>
          </w:tcPr>
          <w:p>
            <w:r/>
            <w:r>
              <w:rPr>
                <w:b w:val="0"/>
                <w:sz w:val="17"/>
              </w:rPr>
              <w:t>Immutable security and business action trail.</w:t>
            </w:r>
          </w:p>
        </w:tc>
      </w:tr>
      <w:tr>
        <w:tc>
          <w:tcPr>
            <w:tcW w:type="dxa" w:w="2592"/>
            <w:vAlign w:val="center"/>
          </w:tcPr>
          <w:p>
            <w:r/>
            <w:r>
              <w:rPr>
                <w:b w:val="0"/>
                <w:sz w:val="17"/>
              </w:rPr>
              <w:t>consent_records</w:t>
            </w:r>
          </w:p>
        </w:tc>
        <w:tc>
          <w:tcPr>
            <w:tcW w:type="dxa" w:w="1440"/>
            <w:vAlign w:val="center"/>
          </w:tcPr>
          <w:p>
            <w:r/>
            <w:r>
              <w:rPr>
                <w:b w:val="0"/>
                <w:sz w:val="17"/>
              </w:rPr>
              <w:t>Tenant</w:t>
            </w:r>
          </w:p>
        </w:tc>
        <w:tc>
          <w:tcPr>
            <w:tcW w:type="dxa" w:w="6048"/>
            <w:vAlign w:val="center"/>
          </w:tcPr>
          <w:p>
            <w:r/>
            <w:r>
              <w:rPr>
                <w:b w:val="0"/>
                <w:sz w:val="17"/>
              </w:rPr>
              <w:t>Purpose, text version, channel, timestamp and withdrawal.</w:t>
            </w:r>
          </w:p>
        </w:tc>
      </w:tr>
      <w:tr>
        <w:tc>
          <w:tcPr>
            <w:tcW w:type="dxa" w:w="2592"/>
            <w:vAlign w:val="center"/>
            <w:shd w:fill="EAF2F8"/>
          </w:tcPr>
          <w:p>
            <w:r/>
            <w:r>
              <w:rPr>
                <w:b w:val="0"/>
                <w:sz w:val="17"/>
              </w:rPr>
              <w:t>data_requests</w:t>
            </w:r>
          </w:p>
        </w:tc>
        <w:tc>
          <w:tcPr>
            <w:tcW w:type="dxa" w:w="1440"/>
            <w:vAlign w:val="center"/>
            <w:shd w:fill="EAF2F8"/>
          </w:tcPr>
          <w:p>
            <w:r/>
            <w:r>
              <w:rPr>
                <w:b w:val="0"/>
                <w:sz w:val="17"/>
              </w:rPr>
              <w:t>Tenant</w:t>
            </w:r>
          </w:p>
        </w:tc>
        <w:tc>
          <w:tcPr>
            <w:tcW w:type="dxa" w:w="6048"/>
            <w:vAlign w:val="center"/>
            <w:shd w:fill="EAF2F8"/>
          </w:tcPr>
          <w:p>
            <w:r/>
            <w:r>
              <w:rPr>
                <w:b w:val="0"/>
                <w:sz w:val="17"/>
              </w:rPr>
              <w:t>Access, correction, deletion and export workflow.</w:t>
            </w:r>
          </w:p>
        </w:tc>
      </w:tr>
    </w:tbl>
    <w:p>
      <w:pPr>
        <w:widowControl/>
      </w:pPr>
    </w:p>
    <w:p>
      <w:pPr>
        <w:pStyle w:val="Heading2"/>
        <w:widowControl/>
      </w:pPr>
      <w:r>
        <w:t>8.1 Essential lead and conversation fields</w:t>
      </w:r>
    </w:p>
    <w:p>
      <w:pPr>
        <w:pStyle w:val="CodeBlock"/>
        <w:widowControl/>
      </w:pPr>
      <w:r>
        <w:t>leads</w:t>
        <w:br/>
        <w:t>- id, tenant_id, public_reference</w:t>
        <w:br/>
        <w:t>- first_name, last_name, status, source, lead_score</w:t>
        <w:br/>
        <w:t>- primary_service_id, selected_course_id, assigned_user_id</w:t>
        <w:br/>
        <w:t>- pin_code, district, state, country</w:t>
        <w:br/>
        <w:t>- qualification_summary, passing_year, study_gap_years</w:t>
        <w:br/>
        <w:t>- preferred_study_mode, budget_range, intake_year</w:t>
        <w:br/>
        <w:t>- created_at, updated_at, merged_into_lead_id</w:t>
        <w:br/>
        <w:br/>
        <w:t>conversations</w:t>
        <w:br/>
        <w:t>- id, tenant_id, visitor_id, lead_id, channel</w:t>
        <w:br/>
        <w:t>- status, ai_mode, assigned_user_id, queue_id</w:t>
        <w:br/>
        <w:t>- source_url, origin_domain, locale</w:t>
        <w:br/>
        <w:t>- started_at, last_message_at, handed_over_at, closed_at</w:t>
        <w:br/>
        <w:t>- ai_summary, sentiment, escalation_reason</w:t>
      </w:r>
    </w:p>
    <w:p>
      <w:pPr>
        <w:pStyle w:val="Heading2"/>
        <w:widowControl/>
      </w:pPr>
      <w:r>
        <w:t>8.2 Duplicate prevention</w:t>
      </w:r>
    </w:p>
    <w:p>
      <w:pPr>
        <w:pStyle w:val="ListBullet"/>
        <w:widowControl/>
      </w:pPr>
      <w:r>
        <w:t>Normalise Indian mobile numbers to E.164 before matching.</w:t>
      </w:r>
    </w:p>
    <w:p>
      <w:pPr>
        <w:pStyle w:val="ListBullet"/>
        <w:widowControl/>
      </w:pPr>
      <w:r>
        <w:t>Normalise email case and whitespace.</w:t>
      </w:r>
    </w:p>
    <w:p>
      <w:pPr>
        <w:pStyle w:val="ListBullet"/>
        <w:widowControl/>
      </w:pPr>
      <w:r>
        <w:t>Do not create a new lead merely because a new conversation begins.</w:t>
      </w:r>
    </w:p>
    <w:p>
      <w:pPr>
        <w:pStyle w:val="ListBullet"/>
        <w:widowControl/>
      </w:pPr>
      <w:r>
        <w:t>Match by verified phone first, verified email second, then configurable probable-match rules.</w:t>
      </w:r>
    </w:p>
    <w:p>
      <w:pPr>
        <w:pStyle w:val="ListBullet"/>
        <w:widowControl/>
      </w:pPr>
      <w:r>
        <w:t>Maintain every conversation and source occurrence even when leads are merged.</w:t>
      </w:r>
    </w:p>
    <w:p>
      <w:pPr>
        <w:pStyle w:val="ListBullet"/>
        <w:widowControl/>
      </w:pPr>
      <w:r>
        <w:t>Require an audited merge operation; preserve a reversible merge trail where practical.</w:t>
      </w:r>
    </w:p>
    <w:p>
      <w:pPr>
        <w:pStyle w:val="Heading1"/>
        <w:widowControl/>
      </w:pPr>
      <w:r>
        <w:t>9. AI orchestration architecture</w:t>
      </w:r>
    </w:p>
    <w:p>
      <w:pPr>
        <w:widowControl/>
      </w:pPr>
      <w:r>
        <w:t>The AI model is a reasoning and language component, not the system of record. It receives the minimum context required, retrieves approved knowledge, requests controlled tools and returns a response proposal. The Laravel application validates and executes every action.</w:t>
      </w:r>
    </w:p>
    <w:p>
      <w:pPr>
        <w:pStyle w:val="CodeBlock"/>
        <w:widowControl/>
      </w:pPr>
      <w:r>
        <w:t>Visitor message</w:t>
        <w:br/>
        <w:t xml:space="preserve">  → input validation and moderation</w:t>
        <w:br/>
        <w:t xml:space="preserve">  → tenant/workflow resolution</w:t>
        <w:br/>
        <w:t xml:space="preserve">  → retrieve lead state + relevant approved knowledge</w:t>
        <w:br/>
        <w:t xml:space="preserve">  → build versioned prompt</w:t>
        <w:br/>
        <w:t xml:space="preserve">  → call selected AI provider</w:t>
        <w:br/>
        <w:t xml:space="preserve">  → validate structured response/tool request</w:t>
        <w:br/>
        <w:t xml:space="preserve">  → execute permitted tool through service layer</w:t>
        <w:br/>
        <w:t xml:space="preserve">  → compose final answer</w:t>
        <w:br/>
        <w:t xml:space="preserve">  → persist message, usage, cost and audit</w:t>
        <w:br/>
        <w:t xml:space="preserve">  → emit real-time event</w:t>
      </w:r>
    </w:p>
    <w:p>
      <w:pPr>
        <w:pStyle w:val="Heading2"/>
        <w:widowControl/>
      </w:pPr>
      <w:r>
        <w:t>9.1 Provider interface</w:t>
      </w:r>
    </w:p>
    <w:p>
      <w:pPr>
        <w:pStyle w:val="CodeBlock"/>
        <w:widowControl/>
      </w:pPr>
      <w:r>
        <w:t>interface AIProviderInterface {</w:t>
        <w:br/>
        <w:t xml:space="preserve">    public function chat(AIRequest $request): AIResponse;</w:t>
        <w:br/>
        <w:t xml:space="preserve">    public function supportsTools(): bool;</w:t>
        <w:br/>
        <w:t xml:space="preserve">    public function estimateCost(AIUsage $usage): Money;</w:t>
        <w:br/>
        <w:t>}</w:t>
        <w:br/>
        <w:br/>
        <w:t>Implementations:</w:t>
        <w:br/>
        <w:t>- OpenAIProvider</w:t>
        <w:br/>
        <w:t>- GeminiProvider (later)</w:t>
        <w:br/>
        <w:t>- ClaudeProvider (later)</w:t>
        <w:br/>
        <w:t>- DeepSeekProvider (later)</w:t>
      </w:r>
    </w:p>
    <w:p>
      <w:pPr>
        <w:pStyle w:val="ListBullet"/>
        <w:widowControl/>
      </w:pPr>
      <w:r>
        <w:t>Provider credentials must be encrypted and never exposed to browser code.</w:t>
      </w:r>
    </w:p>
    <w:p>
      <w:pPr>
        <w:pStyle w:val="ListBullet"/>
        <w:widowControl/>
      </w:pPr>
      <w:r>
        <w:t>Tenant may use centrally billed credentials or its own approved provider key.</w:t>
      </w:r>
    </w:p>
    <w:p>
      <w:pPr>
        <w:pStyle w:val="ListBullet"/>
        <w:widowControl/>
      </w:pPr>
      <w:r>
        <w:t>Model names, token prices and capabilities must be configuration, not hard-coded business logic.</w:t>
      </w:r>
    </w:p>
    <w:p>
      <w:pPr>
        <w:pStyle w:val="ListBullet"/>
        <w:widowControl/>
      </w:pPr>
      <w:r>
        <w:t>Fallback routing must never silently use a provider prohibited by the tenant.</w:t>
      </w:r>
    </w:p>
    <w:p>
      <w:pPr>
        <w:pStyle w:val="ListBullet"/>
        <w:widowControl/>
      </w:pPr>
      <w:r>
        <w:t>All model calls require timeout, retry policy, idempotency and usage logging.</w:t>
      </w:r>
    </w:p>
    <w:p>
      <w:pPr>
        <w:pStyle w:val="Heading2"/>
        <w:widowControl/>
      </w:pPr>
      <w:r>
        <w:t>9.2 Approved AI tools for early modules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096"/>
            <w:shd w:fill="17365D"/>
            <w:vAlign w:val="center"/>
          </w:tcPr>
          <w:p>
            <w:r/>
            <w:r>
              <w:rPr>
                <w:b/>
                <w:color w:val="FFFFFF"/>
                <w:sz w:val="18"/>
              </w:rPr>
              <w:t>Tool</w:t>
            </w:r>
          </w:p>
        </w:tc>
        <w:tc>
          <w:tcPr>
            <w:tcW w:type="dxa" w:w="936"/>
            <w:shd w:fill="17365D"/>
            <w:vAlign w:val="center"/>
          </w:tcPr>
          <w:p>
            <w:r/>
            <w:r>
              <w:rPr>
                <w:b/>
                <w:color w:val="FFFFFF"/>
                <w:sz w:val="18"/>
              </w:rPr>
              <w:t>Risk</w:t>
            </w:r>
          </w:p>
        </w:tc>
        <w:tc>
          <w:tcPr>
            <w:tcW w:type="dxa" w:w="6048"/>
            <w:shd w:fill="17365D"/>
            <w:vAlign w:val="center"/>
          </w:tcPr>
          <w:p>
            <w:r/>
            <w:r>
              <w:rPr>
                <w:b/>
                <w:color w:val="FFFFFF"/>
                <w:sz w:val="18"/>
              </w:rPr>
              <w:t>Rule</w:t>
            </w:r>
          </w:p>
        </w:tc>
      </w:tr>
      <w:tr>
        <w:tc>
          <w:tcPr>
            <w:tcW w:type="dxa" w:w="3096"/>
            <w:vAlign w:val="center"/>
          </w:tcPr>
          <w:p>
            <w:r/>
            <w:r>
              <w:rPr>
                <w:b w:val="0"/>
                <w:sz w:val="17"/>
              </w:rPr>
              <w:t>search_services / search_courses</w:t>
            </w:r>
          </w:p>
        </w:tc>
        <w:tc>
          <w:tcPr>
            <w:tcW w:type="dxa" w:w="936"/>
            <w:vAlign w:val="center"/>
          </w:tcPr>
          <w:p>
            <w:r/>
            <w:r>
              <w:rPr>
                <w:b w:val="0"/>
                <w:sz w:val="17"/>
              </w:rPr>
              <w:t>Low</w:t>
            </w:r>
          </w:p>
        </w:tc>
        <w:tc>
          <w:tcPr>
            <w:tcW w:type="dxa" w:w="6048"/>
            <w:vAlign w:val="center"/>
          </w:tcPr>
          <w:p>
            <w:r/>
            <w:r>
              <w:rPr>
                <w:b w:val="0"/>
                <w:sz w:val="17"/>
              </w:rPr>
              <w:t>Read published tenant catalogue only.</w:t>
            </w:r>
          </w:p>
        </w:tc>
      </w:tr>
      <w:tr>
        <w:tc>
          <w:tcPr>
            <w:tcW w:type="dxa" w:w="3096"/>
            <w:vAlign w:val="center"/>
            <w:shd w:fill="EAF2F8"/>
          </w:tcPr>
          <w:p>
            <w:r/>
            <w:r>
              <w:rPr>
                <w:b w:val="0"/>
                <w:sz w:val="17"/>
              </w:rPr>
              <w:t>get_course_details / fee / documents</w:t>
            </w:r>
          </w:p>
        </w:tc>
        <w:tc>
          <w:tcPr>
            <w:tcW w:type="dxa" w:w="936"/>
            <w:vAlign w:val="center"/>
            <w:shd w:fill="EAF2F8"/>
          </w:tcPr>
          <w:p>
            <w:r/>
            <w:r>
              <w:rPr>
                <w:b w:val="0"/>
                <w:sz w:val="17"/>
              </w:rPr>
              <w:t>Low</w:t>
            </w:r>
          </w:p>
        </w:tc>
        <w:tc>
          <w:tcPr>
            <w:tcW w:type="dxa" w:w="6048"/>
            <w:vAlign w:val="center"/>
            <w:shd w:fill="EAF2F8"/>
          </w:tcPr>
          <w:p>
            <w:r/>
            <w:r>
              <w:rPr>
                <w:b w:val="0"/>
                <w:sz w:val="17"/>
              </w:rPr>
              <w:t>Return versioned, currently published facts.</w:t>
            </w:r>
          </w:p>
        </w:tc>
      </w:tr>
      <w:tr>
        <w:tc>
          <w:tcPr>
            <w:tcW w:type="dxa" w:w="3096"/>
            <w:vAlign w:val="center"/>
          </w:tcPr>
          <w:p>
            <w:r/>
            <w:r>
              <w:rPr>
                <w:b w:val="0"/>
                <w:sz w:val="17"/>
              </w:rPr>
              <w:t>lookup_pin_code</w:t>
            </w:r>
          </w:p>
        </w:tc>
        <w:tc>
          <w:tcPr>
            <w:tcW w:type="dxa" w:w="936"/>
            <w:vAlign w:val="center"/>
          </w:tcPr>
          <w:p>
            <w:r/>
            <w:r>
              <w:rPr>
                <w:b w:val="0"/>
                <w:sz w:val="17"/>
              </w:rPr>
              <w:t>Low</w:t>
            </w:r>
          </w:p>
        </w:tc>
        <w:tc>
          <w:tcPr>
            <w:tcW w:type="dxa" w:w="6048"/>
            <w:vAlign w:val="center"/>
          </w:tcPr>
          <w:p>
            <w:r/>
            <w:r>
              <w:rPr>
                <w:b w:val="0"/>
                <w:sz w:val="17"/>
              </w:rPr>
              <w:t>Use trusted dataset/service; confirm result with visitor.</w:t>
            </w:r>
          </w:p>
        </w:tc>
      </w:tr>
      <w:tr>
        <w:tc>
          <w:tcPr>
            <w:tcW w:type="dxa" w:w="3096"/>
            <w:vAlign w:val="center"/>
            <w:shd w:fill="EAF2F8"/>
          </w:tcPr>
          <w:p>
            <w:r/>
            <w:r>
              <w:rPr>
                <w:b w:val="0"/>
                <w:sz w:val="17"/>
              </w:rPr>
              <w:t>save_lead_field</w:t>
            </w:r>
          </w:p>
        </w:tc>
        <w:tc>
          <w:tcPr>
            <w:tcW w:type="dxa" w:w="936"/>
            <w:vAlign w:val="center"/>
            <w:shd w:fill="EAF2F8"/>
          </w:tcPr>
          <w:p>
            <w:r/>
            <w:r>
              <w:rPr>
                <w:b w:val="0"/>
                <w:sz w:val="17"/>
              </w:rPr>
              <w:t>Medium</w:t>
            </w:r>
          </w:p>
        </w:tc>
        <w:tc>
          <w:tcPr>
            <w:tcW w:type="dxa" w:w="6048"/>
            <w:vAlign w:val="center"/>
            <w:shd w:fill="EAF2F8"/>
          </w:tcPr>
          <w:p>
            <w:r/>
            <w:r>
              <w:rPr>
                <w:b w:val="0"/>
                <w:sz w:val="17"/>
              </w:rPr>
              <w:t>Validate schema, consent and allowed fields.</w:t>
            </w:r>
          </w:p>
        </w:tc>
      </w:tr>
      <w:tr>
        <w:tc>
          <w:tcPr>
            <w:tcW w:type="dxa" w:w="3096"/>
            <w:vAlign w:val="center"/>
          </w:tcPr>
          <w:p>
            <w:r/>
            <w:r>
              <w:rPr>
                <w:b w:val="0"/>
                <w:sz w:val="17"/>
              </w:rPr>
              <w:t>send_mobile_otp</w:t>
            </w:r>
          </w:p>
        </w:tc>
        <w:tc>
          <w:tcPr>
            <w:tcW w:type="dxa" w:w="936"/>
            <w:vAlign w:val="center"/>
          </w:tcPr>
          <w:p>
            <w:r/>
            <w:r>
              <w:rPr>
                <w:b w:val="0"/>
                <w:sz w:val="17"/>
              </w:rPr>
              <w:t>Medium</w:t>
            </w:r>
          </w:p>
        </w:tc>
        <w:tc>
          <w:tcPr>
            <w:tcW w:type="dxa" w:w="6048"/>
            <w:vAlign w:val="center"/>
          </w:tcPr>
          <w:p>
            <w:r/>
            <w:r>
              <w:rPr>
                <w:b w:val="0"/>
                <w:sz w:val="17"/>
              </w:rPr>
              <w:t>Rate limit, anti-abuse and provider verification.</w:t>
            </w:r>
          </w:p>
        </w:tc>
      </w:tr>
      <w:tr>
        <w:tc>
          <w:tcPr>
            <w:tcW w:type="dxa" w:w="3096"/>
            <w:vAlign w:val="center"/>
            <w:shd w:fill="EAF2F8"/>
          </w:tcPr>
          <w:p>
            <w:r/>
            <w:r>
              <w:rPr>
                <w:b w:val="0"/>
                <w:sz w:val="17"/>
              </w:rPr>
              <w:t>check_preliminary_eligibility</w:t>
            </w:r>
          </w:p>
        </w:tc>
        <w:tc>
          <w:tcPr>
            <w:tcW w:type="dxa" w:w="936"/>
            <w:vAlign w:val="center"/>
            <w:shd w:fill="EAF2F8"/>
          </w:tcPr>
          <w:p>
            <w:r/>
            <w:r>
              <w:rPr>
                <w:b w:val="0"/>
                <w:sz w:val="17"/>
              </w:rPr>
              <w:t>Medium</w:t>
            </w:r>
          </w:p>
        </w:tc>
        <w:tc>
          <w:tcPr>
            <w:tcW w:type="dxa" w:w="6048"/>
            <w:vAlign w:val="center"/>
            <w:shd w:fill="EAF2F8"/>
          </w:tcPr>
          <w:p>
            <w:r/>
            <w:r>
              <w:rPr>
                <w:b w:val="0"/>
                <w:sz w:val="17"/>
              </w:rPr>
              <w:t>Execute rules engine; AI only explains result.</w:t>
            </w:r>
          </w:p>
        </w:tc>
      </w:tr>
      <w:tr>
        <w:tc>
          <w:tcPr>
            <w:tcW w:type="dxa" w:w="3096"/>
            <w:vAlign w:val="center"/>
          </w:tcPr>
          <w:p>
            <w:r/>
            <w:r>
              <w:rPr>
                <w:b w:val="0"/>
                <w:sz w:val="17"/>
              </w:rPr>
              <w:t>request_human_handover</w:t>
            </w:r>
          </w:p>
        </w:tc>
        <w:tc>
          <w:tcPr>
            <w:tcW w:type="dxa" w:w="936"/>
            <w:vAlign w:val="center"/>
          </w:tcPr>
          <w:p>
            <w:r/>
            <w:r>
              <w:rPr>
                <w:b w:val="0"/>
                <w:sz w:val="17"/>
              </w:rPr>
              <w:t>Low</w:t>
            </w:r>
          </w:p>
        </w:tc>
        <w:tc>
          <w:tcPr>
            <w:tcW w:type="dxa" w:w="6048"/>
            <w:vAlign w:val="center"/>
          </w:tcPr>
          <w:p>
            <w:r/>
            <w:r>
              <w:rPr>
                <w:b w:val="0"/>
                <w:sz w:val="17"/>
              </w:rPr>
              <w:t>Always permitted within configured workflow.</w:t>
            </w:r>
          </w:p>
        </w:tc>
      </w:tr>
      <w:tr>
        <w:tc>
          <w:tcPr>
            <w:tcW w:type="dxa" w:w="3096"/>
            <w:vAlign w:val="center"/>
            <w:shd w:fill="EAF2F8"/>
          </w:tcPr>
          <w:p>
            <w:r/>
            <w:r>
              <w:rPr>
                <w:b w:val="0"/>
                <w:sz w:val="17"/>
              </w:rPr>
              <w:t>create_callback</w:t>
            </w:r>
          </w:p>
        </w:tc>
        <w:tc>
          <w:tcPr>
            <w:tcW w:type="dxa" w:w="936"/>
            <w:vAlign w:val="center"/>
            <w:shd w:fill="EAF2F8"/>
          </w:tcPr>
          <w:p>
            <w:r/>
            <w:r>
              <w:rPr>
                <w:b w:val="0"/>
                <w:sz w:val="17"/>
              </w:rPr>
              <w:t>Medium</w:t>
            </w:r>
          </w:p>
        </w:tc>
        <w:tc>
          <w:tcPr>
            <w:tcW w:type="dxa" w:w="6048"/>
            <w:vAlign w:val="center"/>
            <w:shd w:fill="EAF2F8"/>
          </w:tcPr>
          <w:p>
            <w:r/>
            <w:r>
              <w:rPr>
                <w:b w:val="0"/>
                <w:sz w:val="17"/>
              </w:rPr>
              <w:t>Validate business hours, contact and ownership.</w:t>
            </w:r>
          </w:p>
        </w:tc>
      </w:tr>
      <w:tr>
        <w:tc>
          <w:tcPr>
            <w:tcW w:type="dxa" w:w="3096"/>
            <w:vAlign w:val="center"/>
          </w:tcPr>
          <w:p>
            <w:r/>
            <w:r>
              <w:rPr>
                <w:b w:val="0"/>
                <w:sz w:val="17"/>
              </w:rPr>
              <w:t>generate_inquiry_continue_link</w:t>
            </w:r>
          </w:p>
        </w:tc>
        <w:tc>
          <w:tcPr>
            <w:tcW w:type="dxa" w:w="936"/>
            <w:vAlign w:val="center"/>
          </w:tcPr>
          <w:p>
            <w:r/>
            <w:r>
              <w:rPr>
                <w:b w:val="0"/>
                <w:sz w:val="17"/>
              </w:rPr>
              <w:t>Medium</w:t>
            </w:r>
          </w:p>
        </w:tc>
        <w:tc>
          <w:tcPr>
            <w:tcW w:type="dxa" w:w="6048"/>
            <w:vAlign w:val="center"/>
          </w:tcPr>
          <w:p>
            <w:r/>
            <w:r>
              <w:rPr>
                <w:b w:val="0"/>
                <w:sz w:val="17"/>
              </w:rPr>
              <w:t>Signed, expiring, single-purpose token.</w:t>
            </w:r>
          </w:p>
        </w:tc>
      </w:tr>
      <w:tr>
        <w:tc>
          <w:tcPr>
            <w:tcW w:type="dxa" w:w="3096"/>
            <w:vAlign w:val="center"/>
            <w:shd w:fill="EAF2F8"/>
          </w:tcPr>
          <w:p>
            <w:r/>
            <w:r>
              <w:rPr>
                <w:b w:val="0"/>
                <w:sz w:val="17"/>
              </w:rPr>
              <w:t>generate_payment_link</w:t>
            </w:r>
          </w:p>
        </w:tc>
        <w:tc>
          <w:tcPr>
            <w:tcW w:type="dxa" w:w="936"/>
            <w:vAlign w:val="center"/>
            <w:shd w:fill="EAF2F8"/>
          </w:tcPr>
          <w:p>
            <w:r/>
            <w:r>
              <w:rPr>
                <w:b w:val="0"/>
                <w:sz w:val="17"/>
              </w:rPr>
              <w:t>High</w:t>
            </w:r>
          </w:p>
        </w:tc>
        <w:tc>
          <w:tcPr>
            <w:tcW w:type="dxa" w:w="6048"/>
            <w:vAlign w:val="center"/>
            <w:shd w:fill="EAF2F8"/>
          </w:tcPr>
          <w:p>
            <w:r/>
            <w:r>
              <w:rPr>
                <w:b w:val="0"/>
                <w:sz w:val="17"/>
              </w:rPr>
              <w:t>Only after server-side prerequisites and fixed order creation.</w:t>
            </w:r>
          </w:p>
        </w:tc>
      </w:tr>
      <w:tr>
        <w:tc>
          <w:tcPr>
            <w:tcW w:type="dxa" w:w="3096"/>
            <w:vAlign w:val="center"/>
          </w:tcPr>
          <w:p>
            <w:r/>
            <w:r>
              <w:rPr>
                <w:b w:val="0"/>
                <w:sz w:val="17"/>
              </w:rPr>
              <w:t>send_email / WhatsApp</w:t>
            </w:r>
          </w:p>
        </w:tc>
        <w:tc>
          <w:tcPr>
            <w:tcW w:type="dxa" w:w="936"/>
            <w:vAlign w:val="center"/>
          </w:tcPr>
          <w:p>
            <w:r/>
            <w:r>
              <w:rPr>
                <w:b w:val="0"/>
                <w:sz w:val="17"/>
              </w:rPr>
              <w:t>High</w:t>
            </w:r>
          </w:p>
        </w:tc>
        <w:tc>
          <w:tcPr>
            <w:tcW w:type="dxa" w:w="6048"/>
            <w:vAlign w:val="center"/>
          </w:tcPr>
          <w:p>
            <w:r/>
            <w:r>
              <w:rPr>
                <w:b w:val="0"/>
                <w:sz w:val="17"/>
              </w:rPr>
              <w:t>Consent, approved template, permissions and audit required.</w:t>
            </w:r>
          </w:p>
        </w:tc>
      </w:tr>
      <w:tr>
        <w:tc>
          <w:tcPr>
            <w:tcW w:type="dxa" w:w="3096"/>
            <w:vAlign w:val="center"/>
            <w:shd w:fill="EAF2F8"/>
          </w:tcPr>
          <w:p>
            <w:r/>
            <w:r>
              <w:rPr>
                <w:b w:val="0"/>
                <w:sz w:val="17"/>
              </w:rPr>
              <w:t>update_application_status</w:t>
            </w:r>
          </w:p>
        </w:tc>
        <w:tc>
          <w:tcPr>
            <w:tcW w:type="dxa" w:w="936"/>
            <w:vAlign w:val="center"/>
            <w:shd w:fill="EAF2F8"/>
          </w:tcPr>
          <w:p>
            <w:r/>
            <w:r>
              <w:rPr>
                <w:b w:val="0"/>
                <w:sz w:val="17"/>
              </w:rPr>
              <w:t>High</w:t>
            </w:r>
          </w:p>
        </w:tc>
        <w:tc>
          <w:tcPr>
            <w:tcW w:type="dxa" w:w="6048"/>
            <w:vAlign w:val="center"/>
            <w:shd w:fill="EAF2F8"/>
          </w:tcPr>
          <w:p>
            <w:r/>
            <w:r>
              <w:rPr>
                <w:b w:val="0"/>
                <w:sz w:val="17"/>
              </w:rPr>
              <w:t>Human or verified external-system authority required.</w:t>
            </w:r>
          </w:p>
        </w:tc>
      </w:tr>
    </w:tbl>
    <w:p>
      <w:pPr>
        <w:widowControl/>
      </w:pPr>
    </w:p>
    <w:p>
      <w:pPr>
        <w:pStyle w:val="Heading1"/>
        <w:widowControl/>
      </w:pPr>
      <w:r>
        <w:t>10. Knowledge base and content governance</w:t>
      </w:r>
    </w:p>
    <w:p>
      <w:pPr>
        <w:pStyle w:val="ListBullet"/>
        <w:widowControl/>
      </w:pPr>
      <w:r>
        <w:t>Every answerable fact must belong to a tenant and have publication status.</w:t>
      </w:r>
    </w:p>
    <w:p>
      <w:pPr>
        <w:pStyle w:val="ListBullet"/>
        <w:widowControl/>
      </w:pPr>
      <w:r>
        <w:t>Knowledge types include FAQ, policy, course, service, institution, location, fee, document checklist and workflow instruction.</w:t>
      </w:r>
    </w:p>
    <w:p>
      <w:pPr>
        <w:pStyle w:val="ListBullet"/>
        <w:widowControl/>
      </w:pPr>
      <w:r>
        <w:t>Each item should carry source, owner, effective date, review date and confidence/status.</w:t>
      </w:r>
    </w:p>
    <w:p>
      <w:pPr>
        <w:pStyle w:val="ListBullet"/>
        <w:widowControl/>
      </w:pPr>
      <w:r>
        <w:t>Only approved/published versions may be used in public AI answers.</w:t>
      </w:r>
    </w:p>
    <w:p>
      <w:pPr>
        <w:pStyle w:val="ListBullet"/>
        <w:widowControl/>
      </w:pPr>
      <w:r>
        <w:t>Fee, intake, recognition and eligibility facts should be structured records, not merely uploaded PDFs.</w:t>
      </w:r>
    </w:p>
    <w:p>
      <w:pPr>
        <w:pStyle w:val="ListBullet"/>
        <w:widowControl/>
      </w:pPr>
      <w:r>
        <w:t>When no approved answer exists, the assistant must state uncertainty and offer human assistance.</w:t>
      </w:r>
    </w:p>
    <w:p>
      <w:pPr>
        <w:pStyle w:val="ListBullet"/>
        <w:widowControl/>
      </w:pPr>
      <w:r>
        <w:t>Internet search must not be enabled by default for public counselling answers.</w:t>
      </w:r>
    </w:p>
    <w:p>
      <w:pPr>
        <w:pStyle w:val="Heading1"/>
        <w:widowControl/>
      </w:pPr>
      <w:r>
        <w:t>11. Conversation and lead-qualification workflow</w:t>
      </w:r>
    </w:p>
    <w:p>
      <w:pPr>
        <w:pStyle w:val="ListNumber"/>
        <w:widowControl/>
      </w:pPr>
      <w:r>
        <w:t>Open with a configurable welcome message and disclose AI-powered assistance.</w:t>
      </w:r>
    </w:p>
    <w:p>
      <w:pPr>
        <w:pStyle w:val="ListNumber"/>
        <w:widowControl/>
      </w:pPr>
      <w:r>
        <w:t>Identify intent: service, course, fee, eligibility, documents, existing application or human assistance.</w:t>
      </w:r>
    </w:p>
    <w:p>
      <w:pPr>
        <w:pStyle w:val="ListNumber"/>
        <w:widowControl/>
      </w:pPr>
      <w:r>
        <w:t>Provide immediate value before requesting excessive contact information.</w:t>
      </w:r>
    </w:p>
    <w:p>
      <w:pPr>
        <w:pStyle w:val="ListNumber"/>
        <w:widowControl/>
      </w:pPr>
      <w:r>
        <w:t>Collect PIN code and confirm resolved district/state when location is relevant.</w:t>
      </w:r>
    </w:p>
    <w:p>
      <w:pPr>
        <w:pStyle w:val="ListNumber"/>
        <w:widowControl/>
      </w:pPr>
      <w:r>
        <w:t>Collect qualification, Class 12 passing year, subjects and other qualifications according to workflow rules.</w:t>
      </w:r>
    </w:p>
    <w:p>
      <w:pPr>
        <w:pStyle w:val="ListNumber"/>
        <w:widowControl/>
      </w:pPr>
      <w:r>
        <w:t>Collect preferred mode: regular, online, distance/open, self-study, hybrid or undecided.</w:t>
      </w:r>
    </w:p>
    <w:p>
      <w:pPr>
        <w:pStyle w:val="ListNumber"/>
        <w:widowControl/>
      </w:pPr>
      <w:r>
        <w:t>Ask gap-related questions only where relevant; do not treat a study gap as automatic ineligibility.</w:t>
      </w:r>
    </w:p>
    <w:p>
      <w:pPr>
        <w:pStyle w:val="ListNumber"/>
        <w:widowControl/>
      </w:pPr>
      <w:r>
        <w:t>Collect mobile number and verify through OTP before treating it as verified.</w:t>
      </w:r>
    </w:p>
    <w:p>
      <w:pPr>
        <w:pStyle w:val="ListNumber"/>
        <w:widowControl/>
      </w:pPr>
      <w:r>
        <w:t>Answer questions from approved data while progressively completing the lead profile.</w:t>
      </w:r>
    </w:p>
    <w:p>
      <w:pPr>
        <w:pStyle w:val="ListNumber"/>
        <w:widowControl/>
      </w:pPr>
      <w:r>
        <w:t>Run deterministic preliminary eligibility and explain the result with conditions.</w:t>
      </w:r>
    </w:p>
    <w:p>
      <w:pPr>
        <w:pStyle w:val="ListNumber"/>
        <w:widowControl/>
      </w:pPr>
      <w:r>
        <w:t>Offer secure inquiry continuation, appointment or reservation payment only when prerequisites are satisfied.</w:t>
      </w:r>
    </w:p>
    <w:p>
      <w:pPr>
        <w:pStyle w:val="ListNumber"/>
        <w:widowControl/>
      </w:pPr>
      <w:r>
        <w:t>Escalate to a human when requested or triggered; provide a concise structured handover summary.</w:t>
      </w:r>
    </w:p>
    <w:p>
      <w:pPr>
        <w:pStyle w:val="Heading2"/>
        <w:widowControl/>
      </w:pPr>
      <w:r>
        <w:t>11.1 Handover triggers</w:t>
      </w:r>
    </w:p>
    <w:p>
      <w:pPr>
        <w:pStyle w:val="ListBullet"/>
        <w:widowControl/>
      </w:pPr>
      <w:r>
        <w:t>Explicit request for a human.</w:t>
      </w:r>
    </w:p>
    <w:p>
      <w:pPr>
        <w:pStyle w:val="ListBullet"/>
        <w:widowControl/>
      </w:pPr>
      <w:r>
        <w:t>Low confidence, missing approved data or repeated failed answer.</w:t>
      </w:r>
    </w:p>
    <w:p>
      <w:pPr>
        <w:pStyle w:val="ListBullet"/>
        <w:widowControl/>
      </w:pPr>
      <w:r>
        <w:t>Fee negotiation, refund dispute, complaint or legal/regulatory interpretation.</w:t>
      </w:r>
    </w:p>
    <w:p>
      <w:pPr>
        <w:pStyle w:val="ListBullet"/>
        <w:widowControl/>
      </w:pPr>
      <w:r>
        <w:t>Potential medical diagnosis, prescription or urgent health concern.</w:t>
      </w:r>
    </w:p>
    <w:p>
      <w:pPr>
        <w:pStyle w:val="ListBullet"/>
        <w:widowControl/>
      </w:pPr>
      <w:r>
        <w:t>Existing application/account issue requiring identity verification.</w:t>
      </w:r>
    </w:p>
    <w:p>
      <w:pPr>
        <w:pStyle w:val="ListBullet"/>
        <w:widowControl/>
      </w:pPr>
      <w:r>
        <w:t>High-intent lead ready for counselling, document review or payment.</w:t>
      </w:r>
    </w:p>
    <w:p>
      <w:pPr>
        <w:pStyle w:val="ListBullet"/>
        <w:widowControl/>
      </w:pPr>
      <w:r>
        <w:t>Negative sentiment, abuse or safety concern.</w:t>
      </w:r>
    </w:p>
    <w:p>
      <w:pPr>
        <w:pStyle w:val="ListBullet"/>
        <w:widowControl/>
      </w:pPr>
      <w:r>
        <w:t>Tenant-configured VIP, geography, course or lead-score condition.</w:t>
      </w:r>
    </w:p>
    <w:p>
      <w:pPr>
        <w:pStyle w:val="Heading1"/>
        <w:widowControl/>
      </w:pPr>
      <w:r>
        <w:t>12. Embeddable widget specification</w:t>
      </w:r>
    </w:p>
    <w:p>
      <w:pPr>
        <w:pStyle w:val="ListBullet"/>
        <w:widowControl/>
      </w:pPr>
      <w:r>
        <w:t>One asynchronous script tag with a rotatable public key.</w:t>
      </w:r>
    </w:p>
    <w:p>
      <w:pPr>
        <w:pStyle w:val="ListBullet"/>
        <w:widowControl/>
      </w:pPr>
      <w:r>
        <w:t>No tenant secret, provider key or database identifier in browser code.</w:t>
      </w:r>
    </w:p>
    <w:p>
      <w:pPr>
        <w:pStyle w:val="ListBullet"/>
        <w:widowControl/>
      </w:pPr>
      <w:r>
        <w:t>Allowed-domain validation on server for each session.</w:t>
      </w:r>
    </w:p>
    <w:p>
      <w:pPr>
        <w:pStyle w:val="ListBullet"/>
        <w:widowControl/>
      </w:pPr>
      <w:r>
        <w:t>Responsive, keyboard accessible and usable on mobile.</w:t>
      </w:r>
    </w:p>
    <w:p>
      <w:pPr>
        <w:pStyle w:val="ListBullet"/>
        <w:widowControl/>
      </w:pPr>
      <w:r>
        <w:t>Configurable theme, logo, assistant name, welcome timing, position and language.</w:t>
      </w:r>
    </w:p>
    <w:p>
      <w:pPr>
        <w:pStyle w:val="ListBullet"/>
        <w:widowControl/>
      </w:pPr>
      <w:r>
        <w:t>Minimise, reopen, unread badge, timestamps, typing indicator and file restrictions.</w:t>
      </w:r>
    </w:p>
    <w:p>
      <w:pPr>
        <w:pStyle w:val="ListBullet"/>
        <w:widowControl/>
      </w:pPr>
      <w:r>
        <w:t>Quick replies and structured input controls for PIN, phone, OTP, date and options.</w:t>
      </w:r>
    </w:p>
    <w:p>
      <w:pPr>
        <w:pStyle w:val="ListBullet"/>
        <w:widowControl/>
      </w:pPr>
      <w:r>
        <w:t>Graceful offline form when AI or live agents are unavailable.</w:t>
      </w:r>
    </w:p>
    <w:p>
      <w:pPr>
        <w:pStyle w:val="ListBullet"/>
        <w:widowControl/>
      </w:pPr>
      <w:r>
        <w:t>Signed session token, rate limiting, abuse protection and content-size limits.</w:t>
      </w:r>
    </w:p>
    <w:p>
      <w:pPr>
        <w:pStyle w:val="ListBullet"/>
        <w:widowControl/>
      </w:pPr>
      <w:r>
        <w:t>Cross-domain safe communication; strict CORS and Content Security Policy guidance.</w:t>
      </w:r>
    </w:p>
    <w:p>
      <w:pPr>
        <w:pStyle w:val="CodeBlock"/>
        <w:widowControl/>
      </w:pPr>
      <w:r>
        <w:t>&lt;script async src="https://cdn.example.com/counsellor/widget.js"</w:t>
        <w:br/>
        <w:t xml:space="preserve">        data-widget-key="PUBLIC_TENANT_WIDGET_KEY"&gt;&lt;/script&gt;</w:t>
      </w:r>
    </w:p>
    <w:p>
      <w:pPr>
        <w:pStyle w:val="Heading1"/>
        <w:widowControl/>
      </w:pPr>
      <w:r>
        <w:t>13. Subscription, suspension and usage billing</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160"/>
            <w:shd w:fill="17365D"/>
            <w:vAlign w:val="center"/>
          </w:tcPr>
          <w:p>
            <w:r/>
            <w:r>
              <w:rPr>
                <w:b/>
                <w:color w:val="FFFFFF"/>
                <w:sz w:val="18"/>
              </w:rPr>
              <w:t>Area</w:t>
            </w:r>
          </w:p>
        </w:tc>
        <w:tc>
          <w:tcPr>
            <w:tcW w:type="dxa" w:w="7776"/>
            <w:shd w:fill="17365D"/>
            <w:vAlign w:val="center"/>
          </w:tcPr>
          <w:p>
            <w:r/>
            <w:r>
              <w:rPr>
                <w:b/>
                <w:color w:val="FFFFFF"/>
                <w:sz w:val="18"/>
              </w:rPr>
              <w:t>Required behaviour</w:t>
            </w:r>
          </w:p>
        </w:tc>
      </w:tr>
      <w:tr>
        <w:tc>
          <w:tcPr>
            <w:tcW w:type="dxa" w:w="2160"/>
            <w:vAlign w:val="center"/>
          </w:tcPr>
          <w:p>
            <w:r/>
            <w:r>
              <w:rPr>
                <w:b w:val="0"/>
                <w:sz w:val="17"/>
              </w:rPr>
              <w:t>Subscription status</w:t>
            </w:r>
          </w:p>
        </w:tc>
        <w:tc>
          <w:tcPr>
            <w:tcW w:type="dxa" w:w="7776"/>
            <w:vAlign w:val="center"/>
          </w:tcPr>
          <w:p>
            <w:r/>
            <w:r>
              <w:rPr>
                <w:b w:val="0"/>
                <w:sz w:val="17"/>
              </w:rPr>
              <w:t>trial, active, grace, past_due, suspended, cancelled, expired.</w:t>
            </w:r>
          </w:p>
        </w:tc>
      </w:tr>
      <w:tr>
        <w:tc>
          <w:tcPr>
            <w:tcW w:type="dxa" w:w="2160"/>
            <w:vAlign w:val="center"/>
            <w:shd w:fill="EAF2F8"/>
          </w:tcPr>
          <w:p>
            <w:r/>
            <w:r>
              <w:rPr>
                <w:b w:val="0"/>
                <w:sz w:val="17"/>
              </w:rPr>
              <w:t>Plan limits</w:t>
            </w:r>
          </w:p>
        </w:tc>
        <w:tc>
          <w:tcPr>
            <w:tcW w:type="dxa" w:w="7776"/>
            <w:vAlign w:val="center"/>
            <w:shd w:fill="EAF2F8"/>
          </w:tcPr>
          <w:p>
            <w:r/>
            <w:r>
              <w:rPr>
                <w:b w:val="0"/>
                <w:sz w:val="17"/>
              </w:rPr>
              <w:t>Conversations, AI tokens/cost, agent seats, websites, knowledge storage, integrations.</w:t>
            </w:r>
          </w:p>
        </w:tc>
      </w:tr>
      <w:tr>
        <w:tc>
          <w:tcPr>
            <w:tcW w:type="dxa" w:w="2160"/>
            <w:vAlign w:val="center"/>
          </w:tcPr>
          <w:p>
            <w:r/>
            <w:r>
              <w:rPr>
                <w:b w:val="0"/>
                <w:sz w:val="17"/>
              </w:rPr>
              <w:t>Overage</w:t>
            </w:r>
          </w:p>
        </w:tc>
        <w:tc>
          <w:tcPr>
            <w:tcW w:type="dxa" w:w="7776"/>
            <w:vAlign w:val="center"/>
          </w:tcPr>
          <w:p>
            <w:r/>
            <w:r>
              <w:rPr>
                <w:b w:val="0"/>
                <w:sz w:val="17"/>
              </w:rPr>
              <w:t>Configurable block, warning, prepaid credit or metered billing.</w:t>
            </w:r>
          </w:p>
        </w:tc>
      </w:tr>
      <w:tr>
        <w:tc>
          <w:tcPr>
            <w:tcW w:type="dxa" w:w="2160"/>
            <w:vAlign w:val="center"/>
            <w:shd w:fill="EAF2F8"/>
          </w:tcPr>
          <w:p>
            <w:r/>
            <w:r>
              <w:rPr>
                <w:b w:val="0"/>
                <w:sz w:val="17"/>
              </w:rPr>
              <w:t>Suspension</w:t>
            </w:r>
          </w:p>
        </w:tc>
        <w:tc>
          <w:tcPr>
            <w:tcW w:type="dxa" w:w="7776"/>
            <w:vAlign w:val="center"/>
            <w:shd w:fill="EAF2F8"/>
          </w:tcPr>
          <w:p>
            <w:r/>
            <w:r>
              <w:rPr>
                <w:b w:val="0"/>
                <w:sz w:val="17"/>
              </w:rPr>
              <w:t>Immediately reject new AI sessions; preserve data; show configurable unavailable/contact message.</w:t>
            </w:r>
          </w:p>
        </w:tc>
      </w:tr>
      <w:tr>
        <w:tc>
          <w:tcPr>
            <w:tcW w:type="dxa" w:w="2160"/>
            <w:vAlign w:val="center"/>
          </w:tcPr>
          <w:p>
            <w:r/>
            <w:r>
              <w:rPr>
                <w:b w:val="0"/>
                <w:sz w:val="17"/>
              </w:rPr>
              <w:t>Expiry</w:t>
            </w:r>
          </w:p>
        </w:tc>
        <w:tc>
          <w:tcPr>
            <w:tcW w:type="dxa" w:w="7776"/>
            <w:vAlign w:val="center"/>
          </w:tcPr>
          <w:p>
            <w:r/>
            <w:r>
              <w:rPr>
                <w:b w:val="0"/>
                <w:sz w:val="17"/>
              </w:rPr>
              <w:t>Scheduled job evaluates expiry and grace periods; all transitions audited.</w:t>
            </w:r>
          </w:p>
        </w:tc>
      </w:tr>
      <w:tr>
        <w:tc>
          <w:tcPr>
            <w:tcW w:type="dxa" w:w="2160"/>
            <w:vAlign w:val="center"/>
            <w:shd w:fill="EAF2F8"/>
          </w:tcPr>
          <w:p>
            <w:r/>
            <w:r>
              <w:rPr>
                <w:b w:val="0"/>
                <w:sz w:val="17"/>
              </w:rPr>
              <w:t>API costs</w:t>
            </w:r>
          </w:p>
        </w:tc>
        <w:tc>
          <w:tcPr>
            <w:tcW w:type="dxa" w:w="7776"/>
            <w:vAlign w:val="center"/>
            <w:shd w:fill="EAF2F8"/>
          </w:tcPr>
          <w:p>
            <w:r/>
            <w:r>
              <w:rPr>
                <w:b w:val="0"/>
                <w:sz w:val="17"/>
              </w:rPr>
              <w:t>Track per model call. Support platform-managed or tenant-supplied API credentials.</w:t>
            </w:r>
          </w:p>
        </w:tc>
      </w:tr>
      <w:tr>
        <w:tc>
          <w:tcPr>
            <w:tcW w:type="dxa" w:w="2160"/>
            <w:vAlign w:val="center"/>
          </w:tcPr>
          <w:p>
            <w:r/>
            <w:r>
              <w:rPr>
                <w:b w:val="0"/>
                <w:sz w:val="17"/>
              </w:rPr>
              <w:t>Messaging costs</w:t>
            </w:r>
          </w:p>
        </w:tc>
        <w:tc>
          <w:tcPr>
            <w:tcW w:type="dxa" w:w="7776"/>
            <w:vAlign w:val="center"/>
          </w:tcPr>
          <w:p>
            <w:r/>
            <w:r>
              <w:rPr>
                <w:b w:val="0"/>
                <w:sz w:val="17"/>
              </w:rPr>
              <w:t>Track WhatsApp/SMS/email provider units separately.</w:t>
            </w:r>
          </w:p>
        </w:tc>
      </w:tr>
      <w:tr>
        <w:tc>
          <w:tcPr>
            <w:tcW w:type="dxa" w:w="2160"/>
            <w:vAlign w:val="center"/>
            <w:shd w:fill="EAF2F8"/>
          </w:tcPr>
          <w:p>
            <w:r/>
            <w:r>
              <w:rPr>
                <w:b w:val="0"/>
                <w:sz w:val="17"/>
              </w:rPr>
              <w:t>Reactivation</w:t>
            </w:r>
          </w:p>
        </w:tc>
        <w:tc>
          <w:tcPr>
            <w:tcW w:type="dxa" w:w="7776"/>
            <w:vAlign w:val="center"/>
            <w:shd w:fill="EAF2F8"/>
          </w:tcPr>
          <w:p>
            <w:r/>
            <w:r>
              <w:rPr>
                <w:b w:val="0"/>
                <w:sz w:val="17"/>
              </w:rPr>
              <w:t>Restore access without data loss after payment/approval.</w:t>
            </w:r>
          </w:p>
        </w:tc>
      </w:tr>
      <w:tr>
        <w:tc>
          <w:tcPr>
            <w:tcW w:type="dxa" w:w="2160"/>
            <w:vAlign w:val="center"/>
          </w:tcPr>
          <w:p>
            <w:r/>
            <w:r>
              <w:rPr>
                <w:b w:val="0"/>
                <w:sz w:val="17"/>
              </w:rPr>
              <w:t>Client visibility</w:t>
            </w:r>
          </w:p>
        </w:tc>
        <w:tc>
          <w:tcPr>
            <w:tcW w:type="dxa" w:w="7776"/>
            <w:vAlign w:val="center"/>
          </w:tcPr>
          <w:p>
            <w:r/>
            <w:r>
              <w:rPr>
                <w:b w:val="0"/>
                <w:sz w:val="17"/>
              </w:rPr>
              <w:t>Tenant dashboard shows current plan, usage, limit, estimated cost and renewal date.</w:t>
            </w:r>
          </w:p>
        </w:tc>
      </w:tr>
    </w:tbl>
    <w:p>
      <w:pPr>
        <w:widowControl/>
      </w:pPr>
    </w:p>
    <w:p>
      <w:pPr>
        <w:pStyle w:val="Heading1"/>
        <w:widowControl/>
      </w:pPr>
      <w:r>
        <w:t>14. Security, privacy and compliance controls</w:t>
      </w:r>
    </w:p>
    <w:p>
      <w:pPr>
        <w:pStyle w:val="ListBullet"/>
        <w:widowControl/>
      </w:pPr>
      <w:r>
        <w:t>Use Laravel policies/gates for every tenant-owned resource.</w:t>
      </w:r>
    </w:p>
    <w:p>
      <w:pPr>
        <w:pStyle w:val="ListBullet"/>
        <w:widowControl/>
      </w:pPr>
      <w:r>
        <w:t>Encrypt provider keys, messaging credentials and sensitive integration secrets at rest.</w:t>
      </w:r>
    </w:p>
    <w:p>
      <w:pPr>
        <w:pStyle w:val="ListBullet"/>
        <w:widowControl/>
      </w:pPr>
      <w:r>
        <w:t>Use HTTPS everywhere; secure, HTTP-only, same-site cookies for dashboards.</w:t>
      </w:r>
    </w:p>
    <w:p>
      <w:pPr>
        <w:pStyle w:val="ListBullet"/>
        <w:widowControl/>
      </w:pPr>
      <w:r>
        <w:t>Use CSRF protection for authenticated browser actions and signed tokens for public continuation links.</w:t>
      </w:r>
    </w:p>
    <w:p>
      <w:pPr>
        <w:pStyle w:val="ListBullet"/>
        <w:widowControl/>
      </w:pPr>
      <w:r>
        <w:t>Rate limit widget sessions, OTP, login, password reset and external integrations.</w:t>
      </w:r>
    </w:p>
    <w:p>
      <w:pPr>
        <w:pStyle w:val="ListBullet"/>
        <w:widowControl/>
      </w:pPr>
      <w:r>
        <w:t>Do not log raw secrets, OTP values, full payment data or unnecessary sensitive content.</w:t>
      </w:r>
    </w:p>
    <w:p>
      <w:pPr>
        <w:pStyle w:val="ListBullet"/>
        <w:widowControl/>
      </w:pPr>
      <w:r>
        <w:t>Store consent text version and purpose with timestamp and source.</w:t>
      </w:r>
    </w:p>
    <w:p>
      <w:pPr>
        <w:pStyle w:val="ListBullet"/>
        <w:widowControl/>
      </w:pPr>
      <w:r>
        <w:t>Provide retention periods, export, correction and deletion request workflows.</w:t>
      </w:r>
    </w:p>
    <w:p>
      <w:pPr>
        <w:pStyle w:val="ListBullet"/>
        <w:widowControl/>
      </w:pPr>
      <w:r>
        <w:t>Use malware scanning and content restrictions for uploaded documents.</w:t>
      </w:r>
    </w:p>
    <w:p>
      <w:pPr>
        <w:pStyle w:val="ListBullet"/>
        <w:widowControl/>
      </w:pPr>
      <w:r>
        <w:t>Payment card details must remain with the payment gateway; store only gateway references and verified status.</w:t>
      </w:r>
    </w:p>
    <w:p>
      <w:pPr>
        <w:pStyle w:val="ListBullet"/>
        <w:widowControl/>
      </w:pPr>
      <w:r>
        <w:t>For healthcare templates, restrict the system to administrative intake, scheduling and information unless an authorised clinical workflow is separately approved.</w:t>
      </w:r>
    </w:p>
    <w:p>
      <w:pPr>
        <w:pStyle w:val="ListBullet"/>
        <w:widowControl/>
      </w:pPr>
      <w:r>
        <w:t>Backups must be encrypted, tested and tenant-data restoration procedures documented.</w:t>
      </w:r>
    </w:p>
    <w:p>
      <w:pPr>
        <w:pStyle w:val="Heading1"/>
        <w:widowControl/>
      </w:pPr>
      <w:r>
        <w:t>15. Deployment architecture</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160"/>
            <w:shd w:fill="17365D"/>
            <w:vAlign w:val="center"/>
          </w:tcPr>
          <w:p>
            <w:r/>
            <w:r>
              <w:rPr>
                <w:b/>
                <w:color w:val="FFFFFF"/>
                <w:sz w:val="18"/>
              </w:rPr>
              <w:t>Environment</w:t>
            </w:r>
          </w:p>
        </w:tc>
        <w:tc>
          <w:tcPr>
            <w:tcW w:type="dxa" w:w="7776"/>
            <w:shd w:fill="17365D"/>
            <w:vAlign w:val="center"/>
          </w:tcPr>
          <w:p>
            <w:r/>
            <w:r>
              <w:rPr>
                <w:b/>
                <w:color w:val="FFFFFF"/>
                <w:sz w:val="18"/>
              </w:rPr>
              <w:t>Position</w:t>
            </w:r>
          </w:p>
        </w:tc>
      </w:tr>
      <w:tr>
        <w:tc>
          <w:tcPr>
            <w:tcW w:type="dxa" w:w="2160"/>
            <w:vAlign w:val="center"/>
          </w:tcPr>
          <w:p>
            <w:r/>
            <w:r>
              <w:rPr>
                <w:b w:val="0"/>
                <w:sz w:val="17"/>
              </w:rPr>
              <w:t>Local development</w:t>
            </w:r>
          </w:p>
        </w:tc>
        <w:tc>
          <w:tcPr>
            <w:tcW w:type="dxa" w:w="7776"/>
            <w:vAlign w:val="center"/>
          </w:tcPr>
          <w:p>
            <w:r/>
            <w:r>
              <w:rPr>
                <w:b w:val="0"/>
                <w:sz w:val="17"/>
              </w:rPr>
              <w:t>Docker or local PHP/MySQL/Redis; seeded test tenants; no production credentials.</w:t>
            </w:r>
          </w:p>
        </w:tc>
      </w:tr>
      <w:tr>
        <w:tc>
          <w:tcPr>
            <w:tcW w:type="dxa" w:w="2160"/>
            <w:vAlign w:val="center"/>
            <w:shd w:fill="EAF2F8"/>
          </w:tcPr>
          <w:p>
            <w:r/>
            <w:r>
              <w:rPr>
                <w:b w:val="0"/>
                <w:sz w:val="17"/>
              </w:rPr>
              <w:t>cPanel-compatible mode</w:t>
            </w:r>
          </w:p>
        </w:tc>
        <w:tc>
          <w:tcPr>
            <w:tcW w:type="dxa" w:w="7776"/>
            <w:vAlign w:val="center"/>
            <w:shd w:fill="EAF2F8"/>
          </w:tcPr>
          <w:p>
            <w:r/>
            <w:r>
              <w:rPr>
                <w:b w:val="0"/>
                <w:sz w:val="17"/>
              </w:rPr>
              <w:t>HTTP dashboard/API, MySQL and cron where available. No guarantee of persistent workers or WebSockets.</w:t>
            </w:r>
          </w:p>
        </w:tc>
      </w:tr>
      <w:tr>
        <w:tc>
          <w:tcPr>
            <w:tcW w:type="dxa" w:w="2160"/>
            <w:vAlign w:val="center"/>
          </w:tcPr>
          <w:p>
            <w:r/>
            <w:r>
              <w:rPr>
                <w:b w:val="0"/>
                <w:sz w:val="17"/>
              </w:rPr>
              <w:t>Primary production</w:t>
            </w:r>
          </w:p>
        </w:tc>
        <w:tc>
          <w:tcPr>
            <w:tcW w:type="dxa" w:w="7776"/>
            <w:vAlign w:val="center"/>
          </w:tcPr>
          <w:p>
            <w:r/>
            <w:r>
              <w:rPr>
                <w:b w:val="0"/>
                <w:sz w:val="17"/>
              </w:rPr>
              <w:t>Managed VPS or cloud VM/container with Nginx, PHP-FPM, MySQL, Redis, queue workers, scheduler and Reverb.</w:t>
            </w:r>
          </w:p>
        </w:tc>
      </w:tr>
      <w:tr>
        <w:tc>
          <w:tcPr>
            <w:tcW w:type="dxa" w:w="2160"/>
            <w:vAlign w:val="center"/>
            <w:shd w:fill="EAF2F8"/>
          </w:tcPr>
          <w:p>
            <w:r/>
            <w:r>
              <w:rPr>
                <w:b w:val="0"/>
                <w:sz w:val="17"/>
              </w:rPr>
              <w:t>Scale-out</w:t>
            </w:r>
          </w:p>
        </w:tc>
        <w:tc>
          <w:tcPr>
            <w:tcW w:type="dxa" w:w="7776"/>
            <w:vAlign w:val="center"/>
            <w:shd w:fill="EAF2F8"/>
          </w:tcPr>
          <w:p>
            <w:r/>
            <w:r>
              <w:rPr>
                <w:b w:val="0"/>
                <w:sz w:val="17"/>
              </w:rPr>
              <w:t>Separate web, worker, real-time and database tiers; load balancer and shared object storage.</w:t>
            </w:r>
          </w:p>
        </w:tc>
      </w:tr>
      <w:tr>
        <w:tc>
          <w:tcPr>
            <w:tcW w:type="dxa" w:w="2160"/>
            <w:vAlign w:val="center"/>
          </w:tcPr>
          <w:p>
            <w:r/>
            <w:r>
              <w:rPr>
                <w:b w:val="0"/>
                <w:sz w:val="17"/>
              </w:rPr>
              <w:t>CDN</w:t>
            </w:r>
          </w:p>
        </w:tc>
        <w:tc>
          <w:tcPr>
            <w:tcW w:type="dxa" w:w="7776"/>
            <w:vAlign w:val="center"/>
          </w:tcPr>
          <w:p>
            <w:r/>
            <w:r>
              <w:rPr>
                <w:b w:val="0"/>
                <w:sz w:val="17"/>
              </w:rPr>
              <w:t>Widget JavaScript and static assets versioned and cacheable; emergency disable/rollback supported.</w:t>
            </w:r>
          </w:p>
        </w:tc>
      </w:tr>
      <w:tr>
        <w:tc>
          <w:tcPr>
            <w:tcW w:type="dxa" w:w="2160"/>
            <w:vAlign w:val="center"/>
            <w:shd w:fill="EAF2F8"/>
          </w:tcPr>
          <w:p>
            <w:r/>
            <w:r>
              <w:rPr>
                <w:b w:val="0"/>
                <w:sz w:val="17"/>
              </w:rPr>
              <w:t>Disaster recovery</w:t>
            </w:r>
          </w:p>
        </w:tc>
        <w:tc>
          <w:tcPr>
            <w:tcW w:type="dxa" w:w="7776"/>
            <w:vAlign w:val="center"/>
            <w:shd w:fill="EAF2F8"/>
          </w:tcPr>
          <w:p>
            <w:r/>
            <w:r>
              <w:rPr>
                <w:b w:val="0"/>
                <w:sz w:val="17"/>
              </w:rPr>
              <w:t>Automated backups, restore drills, secrets recovery and documented RPO/RTO targets.</w:t>
            </w:r>
          </w:p>
        </w:tc>
      </w:tr>
    </w:tbl>
    <w:p>
      <w:pPr>
        <w:widowControl/>
      </w:pPr>
    </w:p>
    <w:p>
      <w:pPr>
        <w:pStyle w:val="CodeBlock"/>
        <w:widowControl/>
      </w:pPr>
      <w:r>
        <w:t>Recommended production services:</w:t>
        <w:br/>
        <w:t>- Nginx / HTTPS</w:t>
        <w:br/>
        <w:t>- PHP-FPM Laravel application</w:t>
        <w:br/>
        <w:t>- MySQL primary database</w:t>
        <w:br/>
        <w:t>- Redis cache and queues</w:t>
        <w:br/>
        <w:t>- Supervisor/systemd queue workers</w:t>
        <w:br/>
        <w:t>- Laravel scheduler via cron</w:t>
        <w:br/>
        <w:t>- Reverb/WebSocket service</w:t>
        <w:br/>
        <w:t>- S3-compatible object storage</w:t>
        <w:br/>
        <w:t>- Central error monitoring and uptime checks</w:t>
      </w:r>
    </w:p>
    <w:p>
      <w:pPr>
        <w:pStyle w:val="Heading1"/>
        <w:widowControl/>
      </w:pPr>
      <w:r>
        <w:t>16. Module implementation roadmap</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792"/>
            <w:shd w:fill="17365D"/>
            <w:vAlign w:val="center"/>
          </w:tcPr>
          <w:p>
            <w:r/>
            <w:r>
              <w:rPr>
                <w:b/>
                <w:color w:val="FFFFFF"/>
                <w:sz w:val="18"/>
              </w:rPr>
              <w:t>Phase</w:t>
            </w:r>
          </w:p>
        </w:tc>
        <w:tc>
          <w:tcPr>
            <w:tcW w:type="dxa" w:w="1584"/>
            <w:shd w:fill="17365D"/>
            <w:vAlign w:val="center"/>
          </w:tcPr>
          <w:p>
            <w:r/>
            <w:r>
              <w:rPr>
                <w:b/>
                <w:color w:val="FFFFFF"/>
                <w:sz w:val="18"/>
              </w:rPr>
              <w:t>Module</w:t>
            </w:r>
          </w:p>
        </w:tc>
        <w:tc>
          <w:tcPr>
            <w:tcW w:type="dxa" w:w="4824"/>
            <w:shd w:fill="17365D"/>
            <w:vAlign w:val="center"/>
          </w:tcPr>
          <w:p>
            <w:r/>
            <w:r>
              <w:rPr>
                <w:b/>
                <w:color w:val="FFFFFF"/>
                <w:sz w:val="18"/>
              </w:rPr>
              <w:t>Primary deliverables</w:t>
            </w:r>
          </w:p>
        </w:tc>
        <w:tc>
          <w:tcPr>
            <w:tcW w:type="dxa" w:w="2952"/>
            <w:shd w:fill="17365D"/>
            <w:vAlign w:val="center"/>
          </w:tcPr>
          <w:p>
            <w:r/>
            <w:r>
              <w:rPr>
                <w:b/>
                <w:color w:val="FFFFFF"/>
                <w:sz w:val="18"/>
              </w:rPr>
              <w:t>Exit gate</w:t>
            </w:r>
          </w:p>
        </w:tc>
      </w:tr>
      <w:tr>
        <w:tc>
          <w:tcPr>
            <w:tcW w:type="dxa" w:w="792"/>
            <w:vAlign w:val="center"/>
          </w:tcPr>
          <w:p>
            <w:r/>
            <w:r>
              <w:rPr>
                <w:b w:val="0"/>
                <w:sz w:val="17"/>
              </w:rPr>
              <w:t>0</w:t>
            </w:r>
          </w:p>
        </w:tc>
        <w:tc>
          <w:tcPr>
            <w:tcW w:type="dxa" w:w="1584"/>
            <w:vAlign w:val="center"/>
          </w:tcPr>
          <w:p>
            <w:r/>
            <w:r>
              <w:rPr>
                <w:b w:val="0"/>
                <w:sz w:val="17"/>
              </w:rPr>
              <w:t>Project foundation</w:t>
            </w:r>
          </w:p>
        </w:tc>
        <w:tc>
          <w:tcPr>
            <w:tcW w:type="dxa" w:w="4824"/>
            <w:vAlign w:val="center"/>
          </w:tcPr>
          <w:p>
            <w:r/>
            <w:r>
              <w:rPr>
                <w:b w:val="0"/>
                <w:sz w:val="17"/>
              </w:rPr>
              <w:t>Repository, environments, coding standard, CI, base Laravel app, architecture records.</w:t>
            </w:r>
          </w:p>
        </w:tc>
        <w:tc>
          <w:tcPr>
            <w:tcW w:type="dxa" w:w="2952"/>
            <w:vAlign w:val="center"/>
          </w:tcPr>
          <w:p>
            <w:r/>
            <w:r>
              <w:rPr>
                <w:b w:val="0"/>
                <w:sz w:val="17"/>
              </w:rPr>
              <w:t>Clean install and automated baseline checks.</w:t>
            </w:r>
          </w:p>
        </w:tc>
      </w:tr>
      <w:tr>
        <w:tc>
          <w:tcPr>
            <w:tcW w:type="dxa" w:w="792"/>
            <w:vAlign w:val="center"/>
            <w:shd w:fill="EAF2F8"/>
          </w:tcPr>
          <w:p>
            <w:r/>
            <w:r>
              <w:rPr>
                <w:b w:val="0"/>
                <w:sz w:val="17"/>
              </w:rPr>
              <w:t>1</w:t>
            </w:r>
          </w:p>
        </w:tc>
        <w:tc>
          <w:tcPr>
            <w:tcW w:type="dxa" w:w="1584"/>
            <w:vAlign w:val="center"/>
            <w:shd w:fill="EAF2F8"/>
          </w:tcPr>
          <w:p>
            <w:r/>
            <w:r>
              <w:rPr>
                <w:b w:val="0"/>
                <w:sz w:val="17"/>
              </w:rPr>
              <w:t>SaaS tenancy</w:t>
            </w:r>
          </w:p>
        </w:tc>
        <w:tc>
          <w:tcPr>
            <w:tcW w:type="dxa" w:w="4824"/>
            <w:vAlign w:val="center"/>
            <w:shd w:fill="EAF2F8"/>
          </w:tcPr>
          <w:p>
            <w:r/>
            <w:r>
              <w:rPr>
                <w:b w:val="0"/>
                <w:sz w:val="17"/>
              </w:rPr>
              <w:t>Tenants, users, roles, domains, plans, subscription, suspend/reactivate, audit.</w:t>
            </w:r>
          </w:p>
        </w:tc>
        <w:tc>
          <w:tcPr>
            <w:tcW w:type="dxa" w:w="2952"/>
            <w:vAlign w:val="center"/>
            <w:shd w:fill="EAF2F8"/>
          </w:tcPr>
          <w:p>
            <w:r/>
            <w:r>
              <w:rPr>
                <w:b w:val="0"/>
                <w:sz w:val="17"/>
              </w:rPr>
              <w:t>Automated tenant-isolation and authorisation tests pass.</w:t>
            </w:r>
          </w:p>
        </w:tc>
      </w:tr>
      <w:tr>
        <w:tc>
          <w:tcPr>
            <w:tcW w:type="dxa" w:w="792"/>
            <w:vAlign w:val="center"/>
          </w:tcPr>
          <w:p>
            <w:r/>
            <w:r>
              <w:rPr>
                <w:b w:val="0"/>
                <w:sz w:val="17"/>
              </w:rPr>
              <w:t>2</w:t>
            </w:r>
          </w:p>
        </w:tc>
        <w:tc>
          <w:tcPr>
            <w:tcW w:type="dxa" w:w="1584"/>
            <w:vAlign w:val="center"/>
          </w:tcPr>
          <w:p>
            <w:r/>
            <w:r>
              <w:rPr>
                <w:b w:val="0"/>
                <w:sz w:val="17"/>
              </w:rPr>
              <w:t>Widget and conversations</w:t>
            </w:r>
          </w:p>
        </w:tc>
        <w:tc>
          <w:tcPr>
            <w:tcW w:type="dxa" w:w="4824"/>
            <w:vAlign w:val="center"/>
          </w:tcPr>
          <w:p>
            <w:r/>
            <w:r>
              <w:rPr>
                <w:b w:val="0"/>
                <w:sz w:val="17"/>
              </w:rPr>
              <w:t>Embed script, session gateway, messages, UI, storage, offline/human request.</w:t>
            </w:r>
          </w:p>
        </w:tc>
        <w:tc>
          <w:tcPr>
            <w:tcW w:type="dxa" w:w="2952"/>
            <w:vAlign w:val="center"/>
          </w:tcPr>
          <w:p>
            <w:r/>
            <w:r>
              <w:rPr>
                <w:b w:val="0"/>
                <w:sz w:val="17"/>
              </w:rPr>
              <w:t>Works on at least PHP/static/WordPress test pages.</w:t>
            </w:r>
          </w:p>
        </w:tc>
      </w:tr>
      <w:tr>
        <w:tc>
          <w:tcPr>
            <w:tcW w:type="dxa" w:w="792"/>
            <w:vAlign w:val="center"/>
            <w:shd w:fill="EAF2F8"/>
          </w:tcPr>
          <w:p>
            <w:r/>
            <w:r>
              <w:rPr>
                <w:b w:val="0"/>
                <w:sz w:val="17"/>
              </w:rPr>
              <w:t>3</w:t>
            </w:r>
          </w:p>
        </w:tc>
        <w:tc>
          <w:tcPr>
            <w:tcW w:type="dxa" w:w="1584"/>
            <w:vAlign w:val="center"/>
            <w:shd w:fill="EAF2F8"/>
          </w:tcPr>
          <w:p>
            <w:r/>
            <w:r>
              <w:rPr>
                <w:b w:val="0"/>
                <w:sz w:val="17"/>
              </w:rPr>
              <w:t>Tenant configuration</w:t>
            </w:r>
          </w:p>
        </w:tc>
        <w:tc>
          <w:tcPr>
            <w:tcW w:type="dxa" w:w="4824"/>
            <w:vAlign w:val="center"/>
            <w:shd w:fill="EAF2F8"/>
          </w:tcPr>
          <w:p>
            <w:r/>
            <w:r>
              <w:rPr>
                <w:b w:val="0"/>
                <w:sz w:val="17"/>
              </w:rPr>
              <w:t>Branding, services, courses, institutions, locations, operating hours.</w:t>
            </w:r>
          </w:p>
        </w:tc>
        <w:tc>
          <w:tcPr>
            <w:tcW w:type="dxa" w:w="2952"/>
            <w:vAlign w:val="center"/>
            <w:shd w:fill="EAF2F8"/>
          </w:tcPr>
          <w:p>
            <w:r/>
            <w:r>
              <w:rPr>
                <w:b w:val="0"/>
                <w:sz w:val="17"/>
              </w:rPr>
              <w:t>Tenant admin can configure without code changes.</w:t>
            </w:r>
          </w:p>
        </w:tc>
      </w:tr>
      <w:tr>
        <w:tc>
          <w:tcPr>
            <w:tcW w:type="dxa" w:w="792"/>
            <w:vAlign w:val="center"/>
          </w:tcPr>
          <w:p>
            <w:r/>
            <w:r>
              <w:rPr>
                <w:b w:val="0"/>
                <w:sz w:val="17"/>
              </w:rPr>
              <w:t>4</w:t>
            </w:r>
          </w:p>
        </w:tc>
        <w:tc>
          <w:tcPr>
            <w:tcW w:type="dxa" w:w="1584"/>
            <w:vAlign w:val="center"/>
          </w:tcPr>
          <w:p>
            <w:r/>
            <w:r>
              <w:rPr>
                <w:b w:val="0"/>
                <w:sz w:val="17"/>
              </w:rPr>
              <w:t>Knowledge base</w:t>
            </w:r>
          </w:p>
        </w:tc>
        <w:tc>
          <w:tcPr>
            <w:tcW w:type="dxa" w:w="4824"/>
            <w:vAlign w:val="center"/>
          </w:tcPr>
          <w:p>
            <w:r/>
            <w:r>
              <w:rPr>
                <w:b w:val="0"/>
                <w:sz w:val="17"/>
              </w:rPr>
              <w:t>Items, versions, approval, structured fees/documents/rules, retrieval.</w:t>
            </w:r>
          </w:p>
        </w:tc>
        <w:tc>
          <w:tcPr>
            <w:tcW w:type="dxa" w:w="2952"/>
            <w:vAlign w:val="center"/>
          </w:tcPr>
          <w:p>
            <w:r/>
            <w:r>
              <w:rPr>
                <w:b w:val="0"/>
                <w:sz w:val="17"/>
              </w:rPr>
              <w:t>Only published tenant content is retrievable.</w:t>
            </w:r>
          </w:p>
        </w:tc>
      </w:tr>
      <w:tr>
        <w:tc>
          <w:tcPr>
            <w:tcW w:type="dxa" w:w="792"/>
            <w:vAlign w:val="center"/>
            <w:shd w:fill="EAF2F8"/>
          </w:tcPr>
          <w:p>
            <w:r/>
            <w:r>
              <w:rPr>
                <w:b w:val="0"/>
                <w:sz w:val="17"/>
              </w:rPr>
              <w:t>5</w:t>
            </w:r>
          </w:p>
        </w:tc>
        <w:tc>
          <w:tcPr>
            <w:tcW w:type="dxa" w:w="1584"/>
            <w:vAlign w:val="center"/>
            <w:shd w:fill="EAF2F8"/>
          </w:tcPr>
          <w:p>
            <w:r/>
            <w:r>
              <w:rPr>
                <w:b w:val="0"/>
                <w:sz w:val="17"/>
              </w:rPr>
              <w:t>AI orchestration</w:t>
            </w:r>
          </w:p>
        </w:tc>
        <w:tc>
          <w:tcPr>
            <w:tcW w:type="dxa" w:w="4824"/>
            <w:vAlign w:val="center"/>
            <w:shd w:fill="EAF2F8"/>
          </w:tcPr>
          <w:p>
            <w:r/>
            <w:r>
              <w:rPr>
                <w:b w:val="0"/>
                <w:sz w:val="17"/>
              </w:rPr>
              <w:t>OpenAI adapter, prompts, tools, safety, usage/cost, fallback.</w:t>
            </w:r>
          </w:p>
        </w:tc>
        <w:tc>
          <w:tcPr>
            <w:tcW w:type="dxa" w:w="2952"/>
            <w:vAlign w:val="center"/>
            <w:shd w:fill="EAF2F8"/>
          </w:tcPr>
          <w:p>
            <w:r/>
            <w:r>
              <w:rPr>
                <w:b w:val="0"/>
                <w:sz w:val="17"/>
              </w:rPr>
              <w:t>Model cannot bypass tool/service validation.</w:t>
            </w:r>
          </w:p>
        </w:tc>
      </w:tr>
      <w:tr>
        <w:tc>
          <w:tcPr>
            <w:tcW w:type="dxa" w:w="792"/>
            <w:vAlign w:val="center"/>
          </w:tcPr>
          <w:p>
            <w:r/>
            <w:r>
              <w:rPr>
                <w:b w:val="0"/>
                <w:sz w:val="17"/>
              </w:rPr>
              <w:t>6</w:t>
            </w:r>
          </w:p>
        </w:tc>
        <w:tc>
          <w:tcPr>
            <w:tcW w:type="dxa" w:w="1584"/>
            <w:vAlign w:val="center"/>
          </w:tcPr>
          <w:p>
            <w:r/>
            <w:r>
              <w:rPr>
                <w:b w:val="0"/>
                <w:sz w:val="17"/>
              </w:rPr>
              <w:t>Lead qualification</w:t>
            </w:r>
          </w:p>
        </w:tc>
        <w:tc>
          <w:tcPr>
            <w:tcW w:type="dxa" w:w="4824"/>
            <w:vAlign w:val="center"/>
          </w:tcPr>
          <w:p>
            <w:r/>
            <w:r>
              <w:rPr>
                <w:b w:val="0"/>
                <w:sz w:val="17"/>
              </w:rPr>
              <w:t>PIN, qualification, subjects, passing year, gap, mode, mobile OTP, deduplication.</w:t>
            </w:r>
          </w:p>
        </w:tc>
        <w:tc>
          <w:tcPr>
            <w:tcW w:type="dxa" w:w="2952"/>
            <w:vAlign w:val="center"/>
          </w:tcPr>
          <w:p>
            <w:r/>
            <w:r>
              <w:rPr>
                <w:b w:val="0"/>
                <w:sz w:val="17"/>
              </w:rPr>
              <w:t>Structured lead is produced from tested conversations.</w:t>
            </w:r>
          </w:p>
        </w:tc>
      </w:tr>
      <w:tr>
        <w:tc>
          <w:tcPr>
            <w:tcW w:type="dxa" w:w="792"/>
            <w:vAlign w:val="center"/>
            <w:shd w:fill="EAF2F8"/>
          </w:tcPr>
          <w:p>
            <w:r/>
            <w:r>
              <w:rPr>
                <w:b w:val="0"/>
                <w:sz w:val="17"/>
              </w:rPr>
              <w:t>7</w:t>
            </w:r>
          </w:p>
        </w:tc>
        <w:tc>
          <w:tcPr>
            <w:tcW w:type="dxa" w:w="1584"/>
            <w:vAlign w:val="center"/>
            <w:shd w:fill="EAF2F8"/>
          </w:tcPr>
          <w:p>
            <w:r/>
            <w:r>
              <w:rPr>
                <w:b w:val="0"/>
                <w:sz w:val="17"/>
              </w:rPr>
              <w:t>Human agent dashboard</w:t>
            </w:r>
          </w:p>
        </w:tc>
        <w:tc>
          <w:tcPr>
            <w:tcW w:type="dxa" w:w="4824"/>
            <w:vAlign w:val="center"/>
            <w:shd w:fill="EAF2F8"/>
          </w:tcPr>
          <w:p>
            <w:r/>
            <w:r>
              <w:rPr>
                <w:b w:val="0"/>
                <w:sz w:val="17"/>
              </w:rPr>
              <w:t>Queues, live updates, assignment, takeover, notes, summary, follow-ups.</w:t>
            </w:r>
          </w:p>
        </w:tc>
        <w:tc>
          <w:tcPr>
            <w:tcW w:type="dxa" w:w="2952"/>
            <w:vAlign w:val="center"/>
            <w:shd w:fill="EAF2F8"/>
          </w:tcPr>
          <w:p>
            <w:r/>
            <w:r>
              <w:rPr>
                <w:b w:val="0"/>
                <w:sz w:val="17"/>
              </w:rPr>
              <w:t>Agent can continue without losing context.</w:t>
            </w:r>
          </w:p>
        </w:tc>
      </w:tr>
      <w:tr>
        <w:tc>
          <w:tcPr>
            <w:tcW w:type="dxa" w:w="792"/>
            <w:vAlign w:val="center"/>
          </w:tcPr>
          <w:p>
            <w:r/>
            <w:r>
              <w:rPr>
                <w:b w:val="0"/>
                <w:sz w:val="17"/>
              </w:rPr>
              <w:t>8</w:t>
            </w:r>
          </w:p>
        </w:tc>
        <w:tc>
          <w:tcPr>
            <w:tcW w:type="dxa" w:w="1584"/>
            <w:vAlign w:val="center"/>
          </w:tcPr>
          <w:p>
            <w:r/>
            <w:r>
              <w:rPr>
                <w:b w:val="0"/>
                <w:sz w:val="17"/>
              </w:rPr>
              <w:t>Billing and entitlements</w:t>
            </w:r>
          </w:p>
        </w:tc>
        <w:tc>
          <w:tcPr>
            <w:tcW w:type="dxa" w:w="4824"/>
            <w:vAlign w:val="center"/>
          </w:tcPr>
          <w:p>
            <w:r/>
            <w:r>
              <w:rPr>
                <w:b w:val="0"/>
                <w:sz w:val="17"/>
              </w:rPr>
              <w:t>Limits, metering, warnings, overage, invoices/payment status.</w:t>
            </w:r>
          </w:p>
        </w:tc>
        <w:tc>
          <w:tcPr>
            <w:tcW w:type="dxa" w:w="2952"/>
            <w:vAlign w:val="center"/>
          </w:tcPr>
          <w:p>
            <w:r/>
            <w:r>
              <w:rPr>
                <w:b w:val="0"/>
                <w:sz w:val="17"/>
              </w:rPr>
              <w:t>Suspension and limit enforcement proven.</w:t>
            </w:r>
          </w:p>
        </w:tc>
      </w:tr>
      <w:tr>
        <w:tc>
          <w:tcPr>
            <w:tcW w:type="dxa" w:w="792"/>
            <w:vAlign w:val="center"/>
            <w:shd w:fill="EAF2F8"/>
          </w:tcPr>
          <w:p>
            <w:r/>
            <w:r>
              <w:rPr>
                <w:b w:val="0"/>
                <w:sz w:val="17"/>
              </w:rPr>
              <w:t>9</w:t>
            </w:r>
          </w:p>
        </w:tc>
        <w:tc>
          <w:tcPr>
            <w:tcW w:type="dxa" w:w="1584"/>
            <w:vAlign w:val="center"/>
            <w:shd w:fill="EAF2F8"/>
          </w:tcPr>
          <w:p>
            <w:r/>
            <w:r>
              <w:rPr>
                <w:b w:val="0"/>
                <w:sz w:val="17"/>
              </w:rPr>
              <w:t>Integrations</w:t>
            </w:r>
          </w:p>
        </w:tc>
        <w:tc>
          <w:tcPr>
            <w:tcW w:type="dxa" w:w="4824"/>
            <w:vAlign w:val="center"/>
            <w:shd w:fill="EAF2F8"/>
          </w:tcPr>
          <w:p>
            <w:r/>
            <w:r>
              <w:rPr>
                <w:b w:val="0"/>
                <w:sz w:val="17"/>
              </w:rPr>
              <w:t>Email, WhatsApp, payment, calendar, webhooks.</w:t>
            </w:r>
          </w:p>
        </w:tc>
        <w:tc>
          <w:tcPr>
            <w:tcW w:type="dxa" w:w="2952"/>
            <w:vAlign w:val="center"/>
            <w:shd w:fill="EAF2F8"/>
          </w:tcPr>
          <w:p>
            <w:r/>
            <w:r>
              <w:rPr>
                <w:b w:val="0"/>
                <w:sz w:val="17"/>
              </w:rPr>
              <w:t>Consent, retry and audit tests pass.</w:t>
            </w:r>
          </w:p>
        </w:tc>
      </w:tr>
      <w:tr>
        <w:tc>
          <w:tcPr>
            <w:tcW w:type="dxa" w:w="792"/>
            <w:vAlign w:val="center"/>
          </w:tcPr>
          <w:p>
            <w:r/>
            <w:r>
              <w:rPr>
                <w:b w:val="0"/>
                <w:sz w:val="17"/>
              </w:rPr>
              <w:t>10</w:t>
            </w:r>
          </w:p>
        </w:tc>
        <w:tc>
          <w:tcPr>
            <w:tcW w:type="dxa" w:w="1584"/>
            <w:vAlign w:val="center"/>
          </w:tcPr>
          <w:p>
            <w:r/>
            <w:r>
              <w:rPr>
                <w:b w:val="0"/>
                <w:sz w:val="17"/>
              </w:rPr>
              <w:t>Industry templates</w:t>
            </w:r>
          </w:p>
        </w:tc>
        <w:tc>
          <w:tcPr>
            <w:tcW w:type="dxa" w:w="4824"/>
            <w:vAlign w:val="center"/>
          </w:tcPr>
          <w:p>
            <w:r/>
            <w:r>
              <w:rPr>
                <w:b w:val="0"/>
                <w:sz w:val="17"/>
              </w:rPr>
              <w:t>Education consultant, college/university, healthcare administrative intake.</w:t>
            </w:r>
          </w:p>
        </w:tc>
        <w:tc>
          <w:tcPr>
            <w:tcW w:type="dxa" w:w="2952"/>
            <w:vAlign w:val="center"/>
          </w:tcPr>
          <w:p>
            <w:r/>
            <w:r>
              <w:rPr>
                <w:b w:val="0"/>
                <w:sz w:val="17"/>
              </w:rPr>
              <w:t>New tenant can be provisioned from template.</w:t>
            </w:r>
          </w:p>
        </w:tc>
      </w:tr>
      <w:tr>
        <w:tc>
          <w:tcPr>
            <w:tcW w:type="dxa" w:w="792"/>
            <w:vAlign w:val="center"/>
            <w:shd w:fill="EAF2F8"/>
          </w:tcPr>
          <w:p>
            <w:r/>
            <w:r>
              <w:rPr>
                <w:b w:val="0"/>
                <w:sz w:val="17"/>
              </w:rPr>
              <w:t>11</w:t>
            </w:r>
          </w:p>
        </w:tc>
        <w:tc>
          <w:tcPr>
            <w:tcW w:type="dxa" w:w="1584"/>
            <w:vAlign w:val="center"/>
            <w:shd w:fill="EAF2F8"/>
          </w:tcPr>
          <w:p>
            <w:r/>
            <w:r>
              <w:rPr>
                <w:b w:val="0"/>
                <w:sz w:val="17"/>
              </w:rPr>
              <w:t>Enterprise and scale</w:t>
            </w:r>
          </w:p>
        </w:tc>
        <w:tc>
          <w:tcPr>
            <w:tcW w:type="dxa" w:w="4824"/>
            <w:vAlign w:val="center"/>
            <w:shd w:fill="EAF2F8"/>
          </w:tcPr>
          <w:p>
            <w:r/>
            <w:r>
              <w:rPr>
                <w:b w:val="0"/>
                <w:sz w:val="17"/>
              </w:rPr>
              <w:t>SSO/API, isolated DB option, advanced analytics, SLA and DR.</w:t>
            </w:r>
          </w:p>
        </w:tc>
        <w:tc>
          <w:tcPr>
            <w:tcW w:type="dxa" w:w="2952"/>
            <w:vAlign w:val="center"/>
            <w:shd w:fill="EAF2F8"/>
          </w:tcPr>
          <w:p>
            <w:r/>
            <w:r>
              <w:rPr>
                <w:b w:val="0"/>
                <w:sz w:val="17"/>
              </w:rPr>
              <w:t>Load, security and recovery targets achieved.</w:t>
            </w:r>
          </w:p>
        </w:tc>
      </w:tr>
    </w:tbl>
    <w:p>
      <w:pPr>
        <w:widowControl/>
      </w:pPr>
    </w:p>
    <w:p>
      <w:pPr>
        <w:pStyle w:val="Heading1"/>
        <w:widowControl/>
      </w:pPr>
      <w:r>
        <w:t>17. Testing and acceptance standards</w:t>
      </w:r>
    </w:p>
    <w:p>
      <w:pPr>
        <w:pStyle w:val="ListBullet"/>
        <w:widowControl/>
      </w:pPr>
      <w:r>
        <w:t>Unit tests for rules, normalisers, cost calculations and state transitions.</w:t>
      </w:r>
    </w:p>
    <w:p>
      <w:pPr>
        <w:pStyle w:val="ListBullet"/>
        <w:widowControl/>
      </w:pPr>
      <w:r>
        <w:t>Feature/API tests for every authenticated action and public widget endpoint.</w:t>
      </w:r>
    </w:p>
    <w:p>
      <w:pPr>
        <w:pStyle w:val="ListBullet"/>
        <w:widowControl/>
      </w:pPr>
      <w:r>
        <w:t>Tenant-isolation tests attempting direct record-ID access across tenants.</w:t>
      </w:r>
    </w:p>
    <w:p>
      <w:pPr>
        <w:pStyle w:val="ListBullet"/>
        <w:widowControl/>
      </w:pPr>
      <w:r>
        <w:t>Prompt/tool contract tests using fixed examples and mocked AI providers.</w:t>
      </w:r>
    </w:p>
    <w:p>
      <w:pPr>
        <w:pStyle w:val="ListBullet"/>
        <w:widowControl/>
      </w:pPr>
      <w:r>
        <w:t>End-to-end tests for new visitor, returning visitor, OTP, handover and suspension.</w:t>
      </w:r>
    </w:p>
    <w:p>
      <w:pPr>
        <w:pStyle w:val="ListBullet"/>
        <w:widowControl/>
      </w:pPr>
      <w:r>
        <w:t>Queue retry and idempotency tests for AI, messaging, payment and webhook jobs.</w:t>
      </w:r>
    </w:p>
    <w:p>
      <w:pPr>
        <w:pStyle w:val="ListBullet"/>
        <w:widowControl/>
      </w:pPr>
      <w:r>
        <w:t>Load tests for simultaneous widget sessions and agent dashboard updates.</w:t>
      </w:r>
    </w:p>
    <w:p>
      <w:pPr>
        <w:pStyle w:val="ListBullet"/>
        <w:widowControl/>
      </w:pPr>
      <w:r>
        <w:t>Security tests for CORS, CSRF, XSS, injection, rate limits, file upload and leaked secrets.</w:t>
      </w:r>
    </w:p>
    <w:p>
      <w:pPr>
        <w:pStyle w:val="ListBullet"/>
        <w:widowControl/>
      </w:pPr>
      <w:r>
        <w:t>Accessibility checks for keyboard use, contrast, labels and screen-reader basics.</w:t>
      </w:r>
    </w:p>
    <w:p>
      <w:pPr>
        <w:pStyle w:val="ListBullet"/>
        <w:widowControl/>
      </w:pPr>
      <w:r>
        <w:t>Regression test suite must pass before each module is accepted.</w:t>
      </w:r>
    </w:p>
    <w:p>
      <w:pPr>
        <w:pStyle w:val="Heading1"/>
        <w:widowControl/>
      </w:pPr>
      <w:r>
        <w:t>18. Definition of done for every module</w:t>
      </w:r>
    </w:p>
    <w:p>
      <w:pPr>
        <w:pStyle w:val="ListNumber"/>
        <w:widowControl/>
      </w:pPr>
      <w:r>
        <w:t>Requirements and out-of-scope items are written before coding.</w:t>
      </w:r>
    </w:p>
    <w:p>
      <w:pPr>
        <w:pStyle w:val="ListNumber"/>
        <w:widowControl/>
      </w:pPr>
      <w:r>
        <w:t>Database migrations are reversible and safe for existing data.</w:t>
      </w:r>
    </w:p>
    <w:p>
      <w:pPr>
        <w:pStyle w:val="ListNumber"/>
        <w:widowControl/>
      </w:pPr>
      <w:r>
        <w:t>Authorisation, validation, rate limits and audit requirements are implemented.</w:t>
      </w:r>
    </w:p>
    <w:p>
      <w:pPr>
        <w:pStyle w:val="ListNumber"/>
        <w:widowControl/>
      </w:pPr>
      <w:r>
        <w:t>Automated tests are added and passing.</w:t>
      </w:r>
    </w:p>
    <w:p>
      <w:pPr>
        <w:pStyle w:val="ListNumber"/>
        <w:widowControl/>
      </w:pPr>
      <w:r>
        <w:t>No unrelated files or modules are changed without explanation.</w:t>
      </w:r>
    </w:p>
    <w:p>
      <w:pPr>
        <w:pStyle w:val="ListNumber"/>
        <w:widowControl/>
      </w:pPr>
      <w:r>
        <w:t>Environment variables and deployment instructions are documented.</w:t>
      </w:r>
    </w:p>
    <w:p>
      <w:pPr>
        <w:pStyle w:val="ListNumber"/>
        <w:widowControl/>
      </w:pPr>
      <w:r>
        <w:t>All changed file paths and database changes are listed.</w:t>
      </w:r>
    </w:p>
    <w:p>
      <w:pPr>
        <w:pStyle w:val="ListNumber"/>
        <w:widowControl/>
      </w:pPr>
      <w:r>
        <w:t>Local verification steps and results are reported honestly.</w:t>
      </w:r>
    </w:p>
    <w:p>
      <w:pPr>
        <w:pStyle w:val="ListNumber"/>
        <w:widowControl/>
      </w:pPr>
      <w:r>
        <w:t>Known limitations and future dependencies are documented.</w:t>
      </w:r>
    </w:p>
    <w:p>
      <w:pPr>
        <w:pStyle w:val="ListNumber"/>
        <w:widowControl/>
      </w:pPr>
      <w:r>
        <w:t>The master architecture or an Architecture Decision Record is updated if design changed.</w:t>
      </w:r>
    </w:p>
    <w:p>
      <w:pPr>
        <w:pStyle w:val="Heading1"/>
        <w:widowControl/>
      </w:pPr>
      <w:r>
        <w:t>19. Mandatory instructions for Cursor, Codex and future agents</w:t>
      </w:r>
    </w:p>
    <w:p>
      <w:pPr>
        <w:pStyle w:val="CodeBlock"/>
        <w:widowControl/>
      </w:pPr>
      <w:r>
        <w:t>READ THIS DOCUMENT BEFORE CODING.</w:t>
        <w:br/>
        <w:br/>
        <w:t>1. Work on one approved module at a time.</w:t>
        <w:br/>
        <w:t>2. Do not deploy to production unless explicitly instructed.</w:t>
        <w:br/>
        <w:t>3. Do not expose or hard-code API keys, secrets or tenant credentials.</w:t>
        <w:br/>
        <w:t>4. Preserve strict tenant isolation in database, cache, queues, storage and events.</w:t>
        <w:br/>
        <w:t>5. Do not allow the AI model to execute SQL or unrestricted application actions.</w:t>
        <w:br/>
        <w:t>6. Use migrations, service classes, policies, validation and automated tests.</w:t>
        <w:br/>
        <w:t>7. Do not create client-specific code forks when configuration can solve the requirement.</w:t>
        <w:br/>
        <w:t>8. Do not change established architecture silently; create an ADR for material changes.</w:t>
        <w:br/>
        <w:t>9. Provide a completion report with changed files, migrations, tests and unresolved issues.</w:t>
        <w:br/>
        <w:t>10. Stop and report honestly when required infrastructure or information is unavailable.</w:t>
      </w:r>
    </w:p>
    <w:p>
      <w:pPr>
        <w:pStyle w:val="Heading1"/>
        <w:widowControl/>
      </w:pPr>
      <w:r>
        <w:t>20. Architecture Decision Record (ADR) process</w:t>
      </w:r>
    </w:p>
    <w:p>
      <w:pPr>
        <w:widowControl/>
      </w:pPr>
      <w:r>
        <w:t>Create a numbered ADR in docs/architecture/decisions whenever changing tenancy model, database strategy, AI-provider contract, authentication, billing logic, public API contract, storage, queue/real-time infrastructure or security boundary.</w:t>
      </w:r>
    </w:p>
    <w:p>
      <w:pPr>
        <w:pStyle w:val="CodeBlock"/>
        <w:widowControl/>
      </w:pPr>
      <w:r>
        <w:t>ADR-XXXX: Decision title</w:t>
        <w:br/>
        <w:t>Status: Proposed / Accepted / Superseded</w:t>
        <w:br/>
        <w:t>Context: Why a decision is required</w:t>
        <w:br/>
        <w:t>Decision: Exact choice</w:t>
        <w:br/>
        <w:t>Alternatives considered: Options rejected</w:t>
        <w:br/>
        <w:t>Consequences: Benefits, risks and migration impact</w:t>
        <w:br/>
        <w:t>Date and author/agent</w:t>
      </w:r>
    </w:p>
    <w:p>
      <w:pPr>
        <w:pStyle w:val="Heading1"/>
        <w:widowControl/>
      </w:pPr>
      <w:r>
        <w:t>21. Suggested repository structure</w:t>
      </w:r>
    </w:p>
    <w:p>
      <w:pPr>
        <w:pStyle w:val="CodeBlock"/>
        <w:widowControl/>
      </w:pPr>
      <w:r>
        <w:t>app/</w:t>
        <w:br/>
        <w:t xml:space="preserve">  Domain/</w:t>
        <w:br/>
        <w:t xml:space="preserve">    Tenancy/  Conversations/  Leads/  Knowledge/  AI/  Billing/  Integrations/</w:t>
        <w:br/>
        <w:t xml:space="preserve">  Http/Controllers/Api/</w:t>
        <w:br/>
        <w:t xml:space="preserve">  Jobs/  Events/  Listeners/  Policies/</w:t>
        <w:br/>
        <w:t xml:space="preserve">  Services/AI/Providers/</w:t>
        <w:br/>
        <w:t xml:space="preserve">  Services/AI/Tools/</w:t>
        <w:br/>
        <w:t>database/migrations/</w:t>
        <w:br/>
        <w:t>database/seeders/</w:t>
        <w:br/>
        <w:t>resources/views/</w:t>
        <w:br/>
        <w:t>resources/js/widget/</w:t>
        <w:br/>
        <w:t>routes/web.php</w:t>
        <w:br/>
        <w:t>routes/api.php</w:t>
        <w:br/>
        <w:t>routes/widget.php</w:t>
        <w:br/>
        <w:t>tests/Unit/</w:t>
        <w:br/>
        <w:t>tests/Feature/</w:t>
        <w:br/>
        <w:t>tests/Tenancy/</w:t>
        <w:br/>
        <w:t>docs/architecture/</w:t>
        <w:br/>
        <w:t xml:space="preserve">  AI_COUNSELLOR_MASTER_ARCHITECTURE.docx</w:t>
        <w:br/>
        <w:t xml:space="preserve">  decisions/</w:t>
        <w:br/>
        <w:t xml:space="preserve">  module-specifications/</w:t>
        <w:br/>
        <w:t xml:space="preserve">  deployment/</w:t>
        <w:br/>
      </w:r>
    </w:p>
    <w:p>
      <w:pPr>
        <w:pStyle w:val="Heading1"/>
        <w:widowControl/>
      </w:pPr>
      <w:r>
        <w:t>22. Commercial MVP boundary</w:t>
      </w:r>
    </w:p>
    <w:p>
      <w:pPr>
        <w:widowControl/>
      </w:pPr>
      <w:r>
        <w:t>The first sellable version should be smaller than the final platform but must preserve the full architecture.</w:t>
      </w:r>
    </w:p>
    <w:p>
      <w:pPr>
        <w:pStyle w:val="ListBullet"/>
        <w:widowControl/>
      </w:pPr>
      <w:r>
        <w:t>Tenant creation, branding, domains, subscription and suspension.</w:t>
      </w:r>
    </w:p>
    <w:p>
      <w:pPr>
        <w:pStyle w:val="ListBullet"/>
        <w:widowControl/>
      </w:pPr>
      <w:r>
        <w:t>Embeddable chat widget and persistent conversations.</w:t>
      </w:r>
    </w:p>
    <w:p>
      <w:pPr>
        <w:pStyle w:val="ListBullet"/>
        <w:widowControl/>
      </w:pPr>
      <w:r>
        <w:t>Configurable services/courses/fees/documents/locations and FAQ knowledge.</w:t>
      </w:r>
    </w:p>
    <w:p>
      <w:pPr>
        <w:pStyle w:val="ListBullet"/>
        <w:widowControl/>
      </w:pPr>
      <w:r>
        <w:t>OpenAI-based conversation with controlled retrieval and tools.</w:t>
      </w:r>
    </w:p>
    <w:p>
      <w:pPr>
        <w:pStyle w:val="ListBullet"/>
        <w:widowControl/>
      </w:pPr>
      <w:r>
        <w:t>Lead qualification: course interest, PIN, qualification, year, subjects, study mode, phone OTP.</w:t>
      </w:r>
    </w:p>
    <w:p>
      <w:pPr>
        <w:pStyle w:val="ListBullet"/>
        <w:widowControl/>
      </w:pPr>
      <w:r>
        <w:t>Preliminary rules-based eligibility.</w:t>
      </w:r>
    </w:p>
    <w:p>
      <w:pPr>
        <w:pStyle w:val="ListBullet"/>
        <w:widowControl/>
      </w:pPr>
      <w:r>
        <w:t>Human handover and agent dashboard.</w:t>
      </w:r>
    </w:p>
    <w:p>
      <w:pPr>
        <w:pStyle w:val="ListBullet"/>
        <w:widowControl/>
      </w:pPr>
      <w:r>
        <w:t>Usage/token/cost tracking and plan limits.</w:t>
      </w:r>
    </w:p>
    <w:p>
      <w:pPr>
        <w:pStyle w:val="ListBullet"/>
        <w:widowControl/>
      </w:pPr>
      <w:r>
        <w:t>Basic reports, audit and consent records.</w:t>
      </w:r>
    </w:p>
    <w:p>
      <w:pPr>
        <w:pStyle w:val="ListBullet"/>
        <w:widowControl/>
      </w:pPr>
      <w:r>
        <w:t>One secure inquiry continuation link; payment and WhatsApp may follow as next modules.</w:t>
      </w:r>
    </w:p>
    <w:p>
      <w:pPr>
        <w:pStyle w:val="Heading1"/>
        <w:widowControl/>
      </w:pPr>
      <w:r>
        <w:t>23. Explicitly deferred features</w:t>
      </w:r>
    </w:p>
    <w:p>
      <w:pPr>
        <w:pStyle w:val="ListBullet"/>
        <w:widowControl/>
      </w:pPr>
      <w:r>
        <w:t>Autonomous outbound voice calling.</w:t>
      </w:r>
    </w:p>
    <w:p>
      <w:pPr>
        <w:pStyle w:val="ListBullet"/>
        <w:widowControl/>
      </w:pPr>
      <w:r>
        <w:t>Independent medical diagnosis, prescription or emergency triage.</w:t>
      </w:r>
    </w:p>
    <w:p>
      <w:pPr>
        <w:pStyle w:val="ListBullet"/>
        <w:widowControl/>
      </w:pPr>
      <w:r>
        <w:t>Unrestricted internet answers or unsupervised regulatory claims.</w:t>
      </w:r>
    </w:p>
    <w:p>
      <w:pPr>
        <w:pStyle w:val="ListBullet"/>
        <w:widowControl/>
      </w:pPr>
      <w:r>
        <w:t>Full workflow automation across arbitrary client databases.</w:t>
      </w:r>
    </w:p>
    <w:p>
      <w:pPr>
        <w:pStyle w:val="ListBullet"/>
        <w:widowControl/>
      </w:pPr>
      <w:r>
        <w:t>Multi-provider AI routing from day one.</w:t>
      </w:r>
    </w:p>
    <w:p>
      <w:pPr>
        <w:pStyle w:val="ListBullet"/>
        <w:widowControl/>
      </w:pPr>
      <w:r>
        <w:t>Native mobile apps before web product-market validation.</w:t>
      </w:r>
    </w:p>
    <w:p>
      <w:pPr>
        <w:pStyle w:val="ListBullet"/>
        <w:widowControl/>
      </w:pPr>
      <w:r>
        <w:t>Complex separate-database tenancy before enterprise demand.</w:t>
      </w:r>
    </w:p>
    <w:p>
      <w:pPr>
        <w:pStyle w:val="ListBullet"/>
        <w:widowControl/>
      </w:pPr>
      <w:r>
        <w:t>Client access to source code or infrastructure secrets.</w:t>
      </w:r>
    </w:p>
    <w:p>
      <w:pPr>
        <w:pStyle w:val="Heading1"/>
        <w:widowControl/>
      </w:pPr>
      <w:r>
        <w:t>24. Product success measures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376"/>
            <w:shd w:fill="17365D"/>
            <w:vAlign w:val="center"/>
          </w:tcPr>
          <w:p>
            <w:r/>
            <w:r>
              <w:rPr>
                <w:b/>
                <w:color w:val="FFFFFF"/>
                <w:sz w:val="18"/>
              </w:rPr>
              <w:t>Measure</w:t>
            </w:r>
          </w:p>
        </w:tc>
        <w:tc>
          <w:tcPr>
            <w:tcW w:type="dxa" w:w="7560"/>
            <w:shd w:fill="17365D"/>
            <w:vAlign w:val="center"/>
          </w:tcPr>
          <w:p>
            <w:r/>
            <w:r>
              <w:rPr>
                <w:b/>
                <w:color w:val="FFFFFF"/>
                <w:sz w:val="18"/>
              </w:rPr>
              <w:t>Example target direction</w:t>
            </w:r>
          </w:p>
        </w:tc>
      </w:tr>
      <w:tr>
        <w:tc>
          <w:tcPr>
            <w:tcW w:type="dxa" w:w="2376"/>
            <w:vAlign w:val="center"/>
          </w:tcPr>
          <w:p>
            <w:r/>
            <w:r>
              <w:rPr>
                <w:b w:val="0"/>
                <w:sz w:val="17"/>
              </w:rPr>
              <w:t>Lead completion rate</w:t>
            </w:r>
          </w:p>
        </w:tc>
        <w:tc>
          <w:tcPr>
            <w:tcW w:type="dxa" w:w="7560"/>
            <w:vAlign w:val="center"/>
          </w:tcPr>
          <w:p>
            <w:r/>
            <w:r>
              <w:rPr>
                <w:b w:val="0"/>
                <w:sz w:val="17"/>
              </w:rPr>
              <w:t>Increasing percentage of conversations with verified contact and required profile.</w:t>
            </w:r>
          </w:p>
        </w:tc>
      </w:tr>
      <w:tr>
        <w:tc>
          <w:tcPr>
            <w:tcW w:type="dxa" w:w="2376"/>
            <w:vAlign w:val="center"/>
            <w:shd w:fill="EAF2F8"/>
          </w:tcPr>
          <w:p>
            <w:r/>
            <w:r>
              <w:rPr>
                <w:b w:val="0"/>
                <w:sz w:val="17"/>
              </w:rPr>
              <w:t>Human handover quality</w:t>
            </w:r>
          </w:p>
        </w:tc>
        <w:tc>
          <w:tcPr>
            <w:tcW w:type="dxa" w:w="7560"/>
            <w:vAlign w:val="center"/>
            <w:shd w:fill="EAF2F8"/>
          </w:tcPr>
          <w:p>
            <w:r/>
            <w:r>
              <w:rPr>
                <w:b w:val="0"/>
                <w:sz w:val="17"/>
              </w:rPr>
              <w:t>Agent receives sufficient summary and does not repeat basic questions.</w:t>
            </w:r>
          </w:p>
        </w:tc>
      </w:tr>
      <w:tr>
        <w:tc>
          <w:tcPr>
            <w:tcW w:type="dxa" w:w="2376"/>
            <w:vAlign w:val="center"/>
          </w:tcPr>
          <w:p>
            <w:r/>
            <w:r>
              <w:rPr>
                <w:b w:val="0"/>
                <w:sz w:val="17"/>
              </w:rPr>
              <w:t>Answer accuracy</w:t>
            </w:r>
          </w:p>
        </w:tc>
        <w:tc>
          <w:tcPr>
            <w:tcW w:type="dxa" w:w="7560"/>
            <w:vAlign w:val="center"/>
          </w:tcPr>
          <w:p>
            <w:r/>
            <w:r>
              <w:rPr>
                <w:b w:val="0"/>
                <w:sz w:val="17"/>
              </w:rPr>
              <w:t>High agreement with published tenant facts; low unsupported-answer rate.</w:t>
            </w:r>
          </w:p>
        </w:tc>
      </w:tr>
      <w:tr>
        <w:tc>
          <w:tcPr>
            <w:tcW w:type="dxa" w:w="2376"/>
            <w:vAlign w:val="center"/>
            <w:shd w:fill="EAF2F8"/>
          </w:tcPr>
          <w:p>
            <w:r/>
            <w:r>
              <w:rPr>
                <w:b w:val="0"/>
                <w:sz w:val="17"/>
              </w:rPr>
              <w:t>Conversion</w:t>
            </w:r>
          </w:p>
        </w:tc>
        <w:tc>
          <w:tcPr>
            <w:tcW w:type="dxa" w:w="7560"/>
            <w:vAlign w:val="center"/>
            <w:shd w:fill="EAF2F8"/>
          </w:tcPr>
          <w:p>
            <w:r/>
            <w:r>
              <w:rPr>
                <w:b w:val="0"/>
                <w:sz w:val="17"/>
              </w:rPr>
              <w:t>Inquiry → qualified lead → appointment/payment/admission/application.</w:t>
            </w:r>
          </w:p>
        </w:tc>
      </w:tr>
      <w:tr>
        <w:tc>
          <w:tcPr>
            <w:tcW w:type="dxa" w:w="2376"/>
            <w:vAlign w:val="center"/>
          </w:tcPr>
          <w:p>
            <w:r/>
            <w:r>
              <w:rPr>
                <w:b w:val="0"/>
                <w:sz w:val="17"/>
              </w:rPr>
              <w:t>Response time</w:t>
            </w:r>
          </w:p>
        </w:tc>
        <w:tc>
          <w:tcPr>
            <w:tcW w:type="dxa" w:w="7560"/>
            <w:vAlign w:val="center"/>
          </w:tcPr>
          <w:p>
            <w:r/>
            <w:r>
              <w:rPr>
                <w:b w:val="0"/>
                <w:sz w:val="17"/>
              </w:rPr>
              <w:t>Fast initial and normal answer latency with visible fallback during provider delay.</w:t>
            </w:r>
          </w:p>
        </w:tc>
      </w:tr>
      <w:tr>
        <w:tc>
          <w:tcPr>
            <w:tcW w:type="dxa" w:w="2376"/>
            <w:vAlign w:val="center"/>
            <w:shd w:fill="EAF2F8"/>
          </w:tcPr>
          <w:p>
            <w:r/>
            <w:r>
              <w:rPr>
                <w:b w:val="0"/>
                <w:sz w:val="17"/>
              </w:rPr>
              <w:t>Cost control</w:t>
            </w:r>
          </w:p>
        </w:tc>
        <w:tc>
          <w:tcPr>
            <w:tcW w:type="dxa" w:w="7560"/>
            <w:vAlign w:val="center"/>
            <w:shd w:fill="EAF2F8"/>
          </w:tcPr>
          <w:p>
            <w:r/>
            <w:r>
              <w:rPr>
                <w:b w:val="0"/>
                <w:sz w:val="17"/>
              </w:rPr>
              <w:t>AI and messaging cost visible per tenant, conversation and converted lead.</w:t>
            </w:r>
          </w:p>
        </w:tc>
      </w:tr>
      <w:tr>
        <w:tc>
          <w:tcPr>
            <w:tcW w:type="dxa" w:w="2376"/>
            <w:vAlign w:val="center"/>
          </w:tcPr>
          <w:p>
            <w:r/>
            <w:r>
              <w:rPr>
                <w:b w:val="0"/>
                <w:sz w:val="17"/>
              </w:rPr>
              <w:t>Tenant retention</w:t>
            </w:r>
          </w:p>
        </w:tc>
        <w:tc>
          <w:tcPr>
            <w:tcW w:type="dxa" w:w="7560"/>
            <w:vAlign w:val="center"/>
          </w:tcPr>
          <w:p>
            <w:r/>
            <w:r>
              <w:rPr>
                <w:b w:val="0"/>
                <w:sz w:val="17"/>
              </w:rPr>
              <w:t>Active usage, renewals and low support burden.</w:t>
            </w:r>
          </w:p>
        </w:tc>
      </w:tr>
      <w:tr>
        <w:tc>
          <w:tcPr>
            <w:tcW w:type="dxa" w:w="2376"/>
            <w:vAlign w:val="center"/>
            <w:shd w:fill="EAF2F8"/>
          </w:tcPr>
          <w:p>
            <w:r/>
            <w:r>
              <w:rPr>
                <w:b w:val="0"/>
                <w:sz w:val="17"/>
              </w:rPr>
              <w:t>Safety/compliance</w:t>
            </w:r>
          </w:p>
        </w:tc>
        <w:tc>
          <w:tcPr>
            <w:tcW w:type="dxa" w:w="7560"/>
            <w:vAlign w:val="center"/>
            <w:shd w:fill="EAF2F8"/>
          </w:tcPr>
          <w:p>
            <w:r/>
            <w:r>
              <w:rPr>
                <w:b w:val="0"/>
                <w:sz w:val="17"/>
              </w:rPr>
              <w:t>Low privacy incidents, audited actions and timely data requests.</w:t>
            </w:r>
          </w:p>
        </w:tc>
      </w:tr>
      <w:tr>
        <w:tc>
          <w:tcPr>
            <w:tcW w:type="dxa" w:w="2376"/>
            <w:vAlign w:val="center"/>
          </w:tcPr>
          <w:p>
            <w:r/>
            <w:r>
              <w:rPr>
                <w:b w:val="0"/>
                <w:sz w:val="17"/>
              </w:rPr>
              <w:t>Reliability</w:t>
            </w:r>
          </w:p>
        </w:tc>
        <w:tc>
          <w:tcPr>
            <w:tcW w:type="dxa" w:w="7560"/>
            <w:vAlign w:val="center"/>
          </w:tcPr>
          <w:p>
            <w:r/>
            <w:r>
              <w:rPr>
                <w:b w:val="0"/>
                <w:sz w:val="17"/>
              </w:rPr>
              <w:t>High widget availability and graceful fallback when AI is unavailable.</w:t>
            </w:r>
          </w:p>
        </w:tc>
      </w:tr>
    </w:tbl>
    <w:p>
      <w:pPr>
        <w:widowControl/>
      </w:pPr>
    </w:p>
    <w:p>
      <w:pPr>
        <w:pStyle w:val="Heading1"/>
        <w:widowControl/>
      </w:pPr>
      <w:r>
        <w:t>25. Final architectural decision</w:t>
      </w:r>
    </w:p>
    <w:p>
      <w:pPr>
        <w:widowControl/>
      </w:pPr>
      <w:r>
        <w:rPr>
          <w:b/>
        </w:rPr>
        <w:t xml:space="preserve">Build the product as a centrally hosted, multi-tenant Laravel SaaS with MySQL, Redis, real-time messaging and a framework-neutral embeddable widget. </w:t>
      </w:r>
      <w:r>
        <w:t>Use OpenAI as the first model provider through an adapter, place all business decisions and database actions behind validated application services, and preserve configuration-driven industry templates. Build SaaS tenancy and suspension before AI automation, then add knowledge, qualification, human handover, billing and integrations in controlled modules.</w:t>
      </w:r>
    </w:p>
    <w:p>
      <w:pPr>
        <w:widowControl/>
      </w:pPr>
      <w:r>
        <w:br w:type="page"/>
      </w:r>
    </w:p>
    <w:p>
      <w:pPr>
        <w:pStyle w:val="Heading1"/>
        <w:widowControl/>
      </w:pPr>
      <w:r>
        <w:t>Appendix A — Agent startup checklist</w:t>
      </w:r>
    </w:p>
    <w:p>
      <w:pPr>
        <w:pStyle w:val="ListBullet"/>
        <w:widowControl/>
      </w:pPr>
      <w:r>
        <w:t>Read this master architecture and current module specification.</w:t>
      </w:r>
    </w:p>
    <w:p>
      <w:pPr>
        <w:pStyle w:val="ListBullet"/>
        <w:widowControl/>
      </w:pPr>
      <w:r>
        <w:t>Inspect repository, framework version, environment and existing migrations.</w:t>
      </w:r>
    </w:p>
    <w:p>
      <w:pPr>
        <w:pStyle w:val="ListBullet"/>
        <w:widowControl/>
      </w:pPr>
      <w:r>
        <w:t>Run existing test suite before changes and record baseline failures.</w:t>
      </w:r>
    </w:p>
    <w:p>
      <w:pPr>
        <w:pStyle w:val="ListBullet"/>
        <w:widowControl/>
      </w:pPr>
      <w:r>
        <w:t>Confirm the current approved module and its boundaries.</w:t>
      </w:r>
    </w:p>
    <w:p>
      <w:pPr>
        <w:pStyle w:val="ListBullet"/>
        <w:widowControl/>
      </w:pPr>
      <w:r>
        <w:t>Create or verify a database backup before destructive migration testing.</w:t>
      </w:r>
    </w:p>
    <w:p>
      <w:pPr>
        <w:pStyle w:val="ListBullet"/>
        <w:widowControl/>
      </w:pPr>
      <w:r>
        <w:t>Implement on a branch or isolated local environment.</w:t>
      </w:r>
    </w:p>
    <w:p>
      <w:pPr>
        <w:pStyle w:val="ListBullet"/>
        <w:widowControl/>
      </w:pPr>
      <w:r>
        <w:t>Run tests, tenant-isolation checks and manual acceptance workflow.</w:t>
      </w:r>
    </w:p>
    <w:p>
      <w:pPr>
        <w:pStyle w:val="ListBullet"/>
        <w:widowControl/>
      </w:pPr>
      <w:r>
        <w:t>Produce a structured completion report and update docs.</w:t>
      </w:r>
    </w:p>
    <w:p>
      <w:pPr>
        <w:pStyle w:val="Heading1"/>
        <w:widowControl/>
      </w:pPr>
      <w:r>
        <w:t>Appendix B — Required completion report format</w:t>
      </w:r>
    </w:p>
    <w:p>
      <w:pPr>
        <w:pStyle w:val="CodeBlock"/>
        <w:widowControl/>
      </w:pPr>
      <w:r>
        <w:t>Module:</w:t>
        <w:br/>
        <w:t>Status: Complete / Partial / Blocked</w:t>
        <w:br/>
        <w:t>Scope completed:</w:t>
        <w:br/>
        <w:t>Out of scope / deferred:</w:t>
        <w:br/>
        <w:t>Changed files:</w:t>
        <w:br/>
        <w:t>New migrations and rollback:</w:t>
        <w:br/>
        <w:t>New environment variables:</w:t>
        <w:br/>
        <w:t>Automated tests and results:</w:t>
        <w:br/>
        <w:t>Manual test steps and results:</w:t>
        <w:br/>
        <w:t>Security/tenant-isolation checks:</w:t>
        <w:br/>
        <w:t>Known limitations:</w:t>
        <w:br/>
        <w:t>Deployment notes:</w:t>
        <w:br/>
        <w:t>Architecture/ADR updates:</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Confidential Product Blueprint | SR World Solutions / IRME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AI COUNSELLOR SaaS — MASTER ARCHITECTURE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ptos" w:hAnsi="Aptos"/>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w:hAnsi="Aptos"/>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ptos" w:hAnsi="Aptos"/>
      <w:b/>
      <w:bCs/>
      <w:color w:val="2F549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60"/>
      <w:contextualSpacing/>
    </w:pPr>
    <w:rPr>
      <w:rFonts w:asciiTheme="majorHAnsi" w:eastAsiaTheme="majorEastAsia" w:hAnsiTheme="majorHAnsi" w:cstheme="majorBidi" w:ascii="Aptos" w:hAnsi="Aptos"/>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160" w:after="100"/>
    </w:pPr>
    <w:rPr>
      <w:rFonts w:asciiTheme="majorHAnsi" w:eastAsiaTheme="majorEastAsia" w:hAnsiTheme="majorHAnsi" w:cstheme="majorBidi" w:ascii="Aptos" w:hAnsi="Aptos"/>
      <w:b w:val="0"/>
      <w:i/>
      <w:iCs/>
      <w:color w:val="595959"/>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100"/>
      <w:ind w:left="360" w:right="216"/>
      <w:shd w:fill="F3F6F9"/>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